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xmlns:wp14="http://schemas.microsoft.com/office/word/2010/wordml" w:rsidRPr="00F4142B" w:rsidR="006846AC" w:rsidP="0006010B" w:rsidRDefault="005E691D" w14:paraId="04E7E916" wp14:textId="77777777">
      <w:pPr>
        <w:pStyle w:val="4Heading1"/>
        <w:spacing w:after="120"/>
        <w:rPr>
          <w:rFonts w:ascii="Calibri" w:hAnsi="Calibri"/>
          <w:color w:val="4472C4"/>
        </w:rPr>
      </w:pPr>
      <w:r>
        <w:rPr>
          <w:rFonts w:ascii="Calibri" w:hAnsi="Calibri"/>
          <w:color w:val="4472C4"/>
        </w:rPr>
        <w:t xml:space="preserve">St. Luke’s </w:t>
      </w:r>
      <w:r w:rsidRPr="00F4142B" w:rsidR="00746CDB">
        <w:rPr>
          <w:rFonts w:ascii="Calibri" w:hAnsi="Calibri"/>
          <w:color w:val="4472C4"/>
        </w:rPr>
        <w:t>COVID</w:t>
      </w:r>
      <w:r w:rsidRPr="00F4142B" w:rsidR="006846AC">
        <w:rPr>
          <w:rFonts w:ascii="Calibri" w:hAnsi="Calibri"/>
          <w:color w:val="4472C4"/>
        </w:rPr>
        <w:t>-19</w:t>
      </w:r>
      <w:r w:rsidRPr="00F4142B" w:rsidR="00746CDB">
        <w:rPr>
          <w:rFonts w:ascii="Calibri" w:hAnsi="Calibri"/>
          <w:color w:val="4472C4"/>
        </w:rPr>
        <w:t xml:space="preserve"> c</w:t>
      </w:r>
      <w:r w:rsidRPr="00F4142B" w:rsidR="00252AD0">
        <w:rPr>
          <w:rFonts w:ascii="Calibri" w:hAnsi="Calibri"/>
          <w:color w:val="4472C4"/>
        </w:rPr>
        <w:t>atch-up</w:t>
      </w:r>
      <w:r w:rsidRPr="00F4142B" w:rsidR="00305626">
        <w:rPr>
          <w:rFonts w:ascii="Calibri" w:hAnsi="Calibri"/>
          <w:color w:val="4472C4"/>
        </w:rPr>
        <w:t xml:space="preserve"> premium report</w:t>
      </w:r>
      <w:r w:rsidRPr="00F4142B" w:rsidR="0022362F">
        <w:rPr>
          <w:rFonts w:ascii="Calibri" w:hAnsi="Calibri"/>
          <w:color w:val="4472C4"/>
        </w:rPr>
        <w:t xml:space="preserve"> </w:t>
      </w:r>
      <w:r w:rsidRPr="00F4142B" w:rsidR="00BA7C8E">
        <w:rPr>
          <w:rFonts w:ascii="Calibri" w:hAnsi="Calibri"/>
          <w:noProof/>
          <w:color w:val="4472C4"/>
        </w:rPr>
        <mc:AlternateContent>
          <mc:Choice Requires="wps">
            <w:drawing>
              <wp:anchor xmlns:wp14="http://schemas.microsoft.com/office/word/2010/wordprocessingDrawing" distT="4294967294" distB="4294967294" distL="114300" distR="114300" simplePos="0" relativeHeight="251657728" behindDoc="0" locked="0" layoutInCell="1" allowOverlap="1" wp14:anchorId="46633573" wp14:editId="7777777">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38224438">
              <v:line id="Straight Connector 4"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283AB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v:stroke joinstyle="miter"/>
                <o:lock v:ext="edit" shapetype="f"/>
              </v:line>
            </w:pict>
          </mc:Fallback>
        </mc:AlternateContent>
      </w:r>
    </w:p>
    <w:p xmlns:wp14="http://schemas.microsoft.com/office/word/2010/wordml" w:rsidRPr="00F4142B" w:rsidR="00B11EA7" w:rsidP="00A006CF" w:rsidRDefault="00252AD0" w14:paraId="569BAC82" wp14:textId="77777777">
      <w:pPr>
        <w:pStyle w:val="2Subheadpink"/>
        <w:rPr>
          <w:rFonts w:ascii="Calibri" w:hAnsi="Calibri"/>
          <w:i/>
          <w:color w:val="4472C4"/>
        </w:rPr>
      </w:pPr>
      <w:r w:rsidRPr="00F4142B">
        <w:rPr>
          <w:rFonts w:ascii="Calibri" w:hAnsi="Calibri"/>
          <w:noProof/>
          <w:color w:val="4472C4"/>
        </w:rPr>
        <w:t>C</w:t>
      </w:r>
      <w:r w:rsidRPr="00F4142B" w:rsidR="002570C9">
        <w:rPr>
          <w:rFonts w:ascii="Calibri" w:hAnsi="Calibri"/>
          <w:noProof/>
          <w:color w:val="4472C4"/>
        </w:rPr>
        <w:t>OVID</w:t>
      </w:r>
      <w:r w:rsidRPr="00F4142B" w:rsidR="006846AC">
        <w:rPr>
          <w:rFonts w:ascii="Calibri" w:hAnsi="Calibri"/>
          <w:noProof/>
          <w:color w:val="4472C4"/>
        </w:rPr>
        <w:t>-19</w:t>
      </w:r>
      <w:r w:rsidRPr="00F4142B" w:rsidR="002570C9">
        <w:rPr>
          <w:rFonts w:ascii="Calibri" w:hAnsi="Calibri"/>
          <w:noProof/>
          <w:color w:val="4472C4"/>
        </w:rPr>
        <w:t xml:space="preserve"> c</w:t>
      </w:r>
      <w:r w:rsidRPr="00F4142B">
        <w:rPr>
          <w:rFonts w:ascii="Calibri" w:hAnsi="Calibri"/>
          <w:noProof/>
          <w:color w:val="4472C4"/>
        </w:rPr>
        <w:t>atch-up</w:t>
      </w:r>
      <w:r w:rsidRPr="00F4142B" w:rsidR="00305626">
        <w:rPr>
          <w:rFonts w:ascii="Calibri" w:hAnsi="Calibri"/>
          <w:noProof/>
          <w:color w:val="4472C4"/>
        </w:rPr>
        <w:t xml:space="preserve"> premium spendi</w:t>
      </w:r>
      <w:r w:rsidRPr="00F4142B">
        <w:rPr>
          <w:rFonts w:ascii="Calibri" w:hAnsi="Calibri"/>
          <w:noProof/>
          <w:color w:val="4472C4"/>
        </w:rPr>
        <w:t>ng: summary</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3119"/>
        <w:gridCol w:w="1417"/>
        <w:gridCol w:w="4395"/>
        <w:gridCol w:w="5528"/>
      </w:tblGrid>
      <w:tr xmlns:wp14="http://schemas.microsoft.com/office/word/2010/wordml" w:rsidRPr="00F4142B" w:rsidR="00305626" w:rsidTr="50B2B2BA" w14:paraId="6EBDD086" wp14:textId="77777777">
        <w:trPr>
          <w:cantSplit/>
          <w:tblHeader/>
        </w:trPr>
        <w:tc>
          <w:tcPr>
            <w:tcW w:w="14459"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F4142B" w:rsidR="00305626" w:rsidP="00133219" w:rsidRDefault="00305626" w14:paraId="620BEBAB" wp14:textId="77777777">
            <w:pPr>
              <w:pStyle w:val="1bodycopy"/>
              <w:spacing w:after="0"/>
              <w:rPr>
                <w:rFonts w:ascii="Calibri" w:hAnsi="Calibri"/>
                <w:caps/>
                <w:color w:val="F8F8F8"/>
              </w:rPr>
            </w:pPr>
            <w:r w:rsidRPr="00F4142B">
              <w:rPr>
                <w:rFonts w:ascii="Calibri" w:hAnsi="Calibri"/>
                <w:caps/>
                <w:color w:val="F8F8F8"/>
              </w:rPr>
              <w:t>summary information</w:t>
            </w:r>
          </w:p>
        </w:tc>
      </w:tr>
      <w:tr xmlns:wp14="http://schemas.microsoft.com/office/word/2010/wordml" w:rsidRPr="00F4142B" w:rsidR="004E641E" w:rsidTr="50B2B2BA" w14:paraId="1F1AB46D" wp14:textId="77777777">
        <w:trPr>
          <w:cantSplit/>
          <w:trHeight w:val="743"/>
        </w:trPr>
        <w:tc>
          <w:tcPr>
            <w:tcW w:w="3119" w:type="dxa"/>
            <w:shd w:val="clear" w:color="auto" w:fill="auto"/>
            <w:tcMar>
              <w:top w:w="113" w:type="dxa"/>
              <w:bottom w:w="113" w:type="dxa"/>
            </w:tcMar>
          </w:tcPr>
          <w:p w:rsidRPr="00F4142B" w:rsidR="004E641E" w:rsidP="004E641E" w:rsidRDefault="004E641E" w14:paraId="7945B235" wp14:textId="77777777">
            <w:pPr>
              <w:pStyle w:val="7Tablebodycopy"/>
              <w:rPr>
                <w:rFonts w:ascii="Calibri" w:hAnsi="Calibri"/>
              </w:rPr>
            </w:pPr>
            <w:r w:rsidRPr="00F4142B">
              <w:rPr>
                <w:rFonts w:ascii="Calibri" w:hAnsi="Calibri"/>
              </w:rPr>
              <w:t>Total number of pupils:</w:t>
            </w:r>
          </w:p>
        </w:tc>
        <w:tc>
          <w:tcPr>
            <w:tcW w:w="1417" w:type="dxa"/>
            <w:shd w:val="clear" w:color="auto" w:fill="auto"/>
            <w:tcMar>
              <w:top w:w="113" w:type="dxa"/>
              <w:bottom w:w="113" w:type="dxa"/>
            </w:tcMar>
          </w:tcPr>
          <w:p w:rsidRPr="00F4142B" w:rsidR="004E641E" w:rsidP="004E641E" w:rsidRDefault="009266B5" w14:paraId="4B6FF146" wp14:textId="77777777">
            <w:pPr>
              <w:pStyle w:val="7Tablebodycopy"/>
              <w:rPr>
                <w:rFonts w:ascii="Calibri" w:hAnsi="Calibri"/>
              </w:rPr>
            </w:pPr>
            <w:r>
              <w:rPr>
                <w:rFonts w:ascii="Calibri" w:hAnsi="Calibri"/>
              </w:rPr>
              <w:t>440</w:t>
            </w:r>
            <w:r w:rsidRPr="00F4142B" w:rsidR="0006010B">
              <w:rPr>
                <w:rFonts w:ascii="Calibri" w:hAnsi="Calibri"/>
              </w:rPr>
              <w:t xml:space="preserve"> on roll </w:t>
            </w:r>
          </w:p>
        </w:tc>
        <w:tc>
          <w:tcPr>
            <w:tcW w:w="4395" w:type="dxa"/>
            <w:tcMar/>
          </w:tcPr>
          <w:p w:rsidRPr="00F4142B" w:rsidR="004E641E" w:rsidP="004E641E" w:rsidRDefault="004E641E" w14:paraId="1CC10E21" wp14:textId="77777777">
            <w:pPr>
              <w:pStyle w:val="7Tablebodycopy"/>
              <w:rPr>
                <w:rFonts w:ascii="Calibri" w:hAnsi="Calibri"/>
              </w:rPr>
            </w:pPr>
            <w:r w:rsidRPr="00F4142B">
              <w:rPr>
                <w:rFonts w:ascii="Calibri" w:hAnsi="Calibri"/>
              </w:rPr>
              <w:t>Amount of catch-up premium received per pupil:</w:t>
            </w:r>
          </w:p>
        </w:tc>
        <w:tc>
          <w:tcPr>
            <w:tcW w:w="5528" w:type="dxa"/>
            <w:shd w:val="clear" w:color="auto" w:fill="auto"/>
            <w:tcMar>
              <w:top w:w="113" w:type="dxa"/>
              <w:bottom w:w="113" w:type="dxa"/>
            </w:tcMar>
          </w:tcPr>
          <w:p w:rsidRPr="00F4142B" w:rsidR="004E641E" w:rsidP="004E641E" w:rsidRDefault="00591AC8" w14:paraId="4C157208" wp14:textId="77777777">
            <w:pPr>
              <w:pStyle w:val="7Tablebodycopy"/>
              <w:rPr>
                <w:rFonts w:ascii="Calibri" w:hAnsi="Calibri"/>
              </w:rPr>
            </w:pPr>
            <w:r w:rsidRPr="00F4142B">
              <w:rPr>
                <w:rFonts w:ascii="Calibri" w:hAnsi="Calibri"/>
                <w:b/>
              </w:rPr>
              <w:t>£80 per pupil for the 20/21 academic year</w:t>
            </w:r>
            <w:r w:rsidRPr="00F4142B">
              <w:rPr>
                <w:rFonts w:ascii="Calibri" w:hAnsi="Calibri"/>
              </w:rPr>
              <w:t>: £46.67 for the Autumn and Spring terms and then £33.33 for the Summer term 2021</w:t>
            </w:r>
          </w:p>
        </w:tc>
      </w:tr>
      <w:tr xmlns:wp14="http://schemas.microsoft.com/office/word/2010/wordml" w:rsidRPr="00F4142B" w:rsidR="00591AC8" w:rsidTr="50B2B2BA" w14:paraId="04E409B9" wp14:textId="77777777">
        <w:trPr>
          <w:cantSplit/>
        </w:trPr>
        <w:tc>
          <w:tcPr>
            <w:tcW w:w="3119" w:type="dxa"/>
            <w:shd w:val="clear" w:color="auto" w:fill="auto"/>
            <w:tcMar>
              <w:top w:w="113" w:type="dxa"/>
              <w:bottom w:w="113" w:type="dxa"/>
            </w:tcMar>
          </w:tcPr>
          <w:p w:rsidRPr="00F4142B" w:rsidR="00591AC8" w:rsidP="004E641E" w:rsidRDefault="00591AC8" w14:paraId="51824FF7" wp14:textId="77777777">
            <w:pPr>
              <w:pStyle w:val="7Tablebodycopy"/>
              <w:rPr>
                <w:rFonts w:ascii="Calibri" w:hAnsi="Calibri"/>
              </w:rPr>
            </w:pPr>
            <w:r w:rsidRPr="00F4142B">
              <w:rPr>
                <w:rFonts w:ascii="Calibri" w:hAnsi="Calibri"/>
              </w:rPr>
              <w:t>Total catch-up premium budget:</w:t>
            </w:r>
          </w:p>
        </w:tc>
        <w:tc>
          <w:tcPr>
            <w:tcW w:w="11340" w:type="dxa"/>
            <w:gridSpan w:val="3"/>
            <w:shd w:val="clear" w:color="auto" w:fill="auto"/>
            <w:tcMar>
              <w:top w:w="113" w:type="dxa"/>
              <w:bottom w:w="113" w:type="dxa"/>
            </w:tcMar>
          </w:tcPr>
          <w:p w:rsidRPr="00F4142B" w:rsidR="00591AC8" w:rsidP="004E641E" w:rsidRDefault="009266B5" w14:paraId="685F7C51" wp14:textId="7AB3F219">
            <w:pPr>
              <w:pStyle w:val="7Tablebodycopy"/>
              <w:rPr>
                <w:rFonts w:ascii="Calibri" w:hAnsi="Calibri"/>
              </w:rPr>
            </w:pPr>
            <w:r w:rsidRPr="50B2B2BA" w:rsidR="0745278C">
              <w:rPr>
                <w:rFonts w:ascii="Calibri" w:hAnsi="Calibri"/>
              </w:rPr>
              <w:t>£31,120</w:t>
            </w:r>
          </w:p>
        </w:tc>
      </w:tr>
    </w:tbl>
    <w:p xmlns:wp14="http://schemas.microsoft.com/office/word/2010/wordml" w:rsidRPr="00F4142B" w:rsidR="00D64BCF" w:rsidP="0006010B" w:rsidRDefault="00D64BCF" w14:paraId="672A6659" wp14:textId="77777777">
      <w:pPr>
        <w:pStyle w:val="3Bulletedcopyblue"/>
        <w:numPr>
          <w:ilvl w:val="0"/>
          <w:numId w:val="0"/>
        </w:numPr>
        <w:rPr>
          <w:rFonts w:ascii="Calibri" w:hAnsi="Calibri"/>
          <w:highlight w:val="yellow"/>
          <w:lang w:val="en-GB" w:eastAsia="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01"/>
      </w:tblGrid>
      <w:tr xmlns:wp14="http://schemas.microsoft.com/office/word/2010/wordml" w:rsidRPr="00F4142B" w:rsidR="00305626" w:rsidTr="006128D4" w14:paraId="66B49ABE" wp14:textId="77777777">
        <w:trPr>
          <w:cantSplit/>
          <w:tblHeader/>
        </w:trPr>
        <w:tc>
          <w:tcPr>
            <w:tcW w:w="14601" w:type="dxa"/>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F4142B" w:rsidR="00305626" w:rsidP="000F7F20" w:rsidRDefault="00305626" w14:paraId="63669C8D" wp14:textId="77777777">
            <w:pPr>
              <w:pStyle w:val="1bodycopy"/>
              <w:spacing w:after="0"/>
              <w:rPr>
                <w:rFonts w:ascii="Calibri" w:hAnsi="Calibri"/>
                <w:caps/>
                <w:color w:val="F8F8F8"/>
              </w:rPr>
            </w:pPr>
            <w:r w:rsidRPr="00F4142B">
              <w:rPr>
                <w:rFonts w:ascii="Calibri" w:hAnsi="Calibri"/>
                <w:caps/>
                <w:color w:val="F8F8F8"/>
              </w:rPr>
              <w:t>strategy statement</w:t>
            </w:r>
          </w:p>
        </w:tc>
      </w:tr>
      <w:tr xmlns:wp14="http://schemas.microsoft.com/office/word/2010/wordml" w:rsidRPr="00F4142B" w:rsidR="00305626" w:rsidTr="006128D4" w14:paraId="1784E216" wp14:textId="77777777">
        <w:trPr>
          <w:cantSplit/>
        </w:trPr>
        <w:tc>
          <w:tcPr>
            <w:tcW w:w="14601" w:type="dxa"/>
            <w:shd w:val="clear" w:color="auto" w:fill="auto"/>
            <w:tcMar>
              <w:top w:w="113" w:type="dxa"/>
              <w:bottom w:w="113" w:type="dxa"/>
            </w:tcMar>
          </w:tcPr>
          <w:p w:rsidR="009266B5" w:rsidP="00305626" w:rsidRDefault="00591AC8" w14:paraId="640CE844" wp14:textId="77777777">
            <w:pPr>
              <w:pStyle w:val="7Tablebodycopy"/>
              <w:rPr>
                <w:rFonts w:ascii="Calibri" w:hAnsi="Calibri"/>
              </w:rPr>
            </w:pPr>
            <w:r w:rsidRPr="00F4142B">
              <w:rPr>
                <w:rFonts w:ascii="Calibri" w:hAnsi="Calibri"/>
              </w:rPr>
              <w:t xml:space="preserve">At </w:t>
            </w:r>
            <w:r w:rsidR="009266B5">
              <w:rPr>
                <w:rFonts w:ascii="Calibri" w:hAnsi="Calibri"/>
              </w:rPr>
              <w:t>St. Luke’s</w:t>
            </w:r>
            <w:r w:rsidRPr="00F4142B">
              <w:rPr>
                <w:rFonts w:ascii="Calibri" w:hAnsi="Calibri"/>
              </w:rPr>
              <w:t xml:space="preserve"> School our </w:t>
            </w:r>
            <w:r w:rsidRPr="00F4142B">
              <w:rPr>
                <w:rFonts w:ascii="Calibri" w:hAnsi="Calibri"/>
                <w:b/>
              </w:rPr>
              <w:t>Catch-Up Premium Strategy</w:t>
            </w:r>
            <w:r w:rsidRPr="00F4142B">
              <w:rPr>
                <w:rFonts w:ascii="Calibri" w:hAnsi="Calibri"/>
              </w:rPr>
              <w:t xml:space="preserve"> is rooted</w:t>
            </w:r>
            <w:r w:rsidR="009266B5">
              <w:rPr>
                <w:rFonts w:ascii="Calibri" w:hAnsi="Calibri"/>
              </w:rPr>
              <w:t xml:space="preserve"> </w:t>
            </w:r>
            <w:r w:rsidR="00517B90">
              <w:rPr>
                <w:rFonts w:ascii="Calibri" w:hAnsi="Calibri"/>
              </w:rPr>
              <w:t>in our curriculum drivers of ‘Raising Aspirations’ and ‘Managing change through building resilience</w:t>
            </w:r>
            <w:r w:rsidR="005508F8">
              <w:rPr>
                <w:rFonts w:ascii="Calibri" w:hAnsi="Calibri"/>
              </w:rPr>
              <w:t>’</w:t>
            </w:r>
            <w:r w:rsidR="00517B90">
              <w:rPr>
                <w:rFonts w:ascii="Calibri" w:hAnsi="Calibri"/>
              </w:rPr>
              <w:t xml:space="preserve">. </w:t>
            </w:r>
          </w:p>
          <w:p w:rsidR="00517B90" w:rsidP="00305626" w:rsidRDefault="00517B90" w14:paraId="0A37501D" wp14:textId="77777777">
            <w:pPr>
              <w:pStyle w:val="7Tablebodycopy"/>
              <w:rPr>
                <w:rFonts w:ascii="Calibri" w:hAnsi="Calibri"/>
              </w:rPr>
            </w:pPr>
          </w:p>
          <w:p w:rsidR="00591AC8" w:rsidP="00305626" w:rsidRDefault="009266B5" w14:paraId="4A931C28" wp14:textId="77777777">
            <w:pPr>
              <w:pStyle w:val="7Tablebodycopy"/>
              <w:rPr>
                <w:rFonts w:ascii="Calibri" w:hAnsi="Calibri"/>
              </w:rPr>
            </w:pPr>
            <w:r>
              <w:rPr>
                <w:rFonts w:ascii="Calibri" w:hAnsi="Calibri"/>
              </w:rPr>
              <w:t>Despite that fact that the Statutory Assessments for Year 6 have been cancelled for this year, we want to make sure that our children are supported in addressing the gaps that have emerged in their learning resulting from extended periods of school closure during the first lock down, disruption from self-isolation periods in Autumn 2 and then a second national lockdown in Spring 1.</w:t>
            </w:r>
            <w:r w:rsidR="00517B90">
              <w:t xml:space="preserve"> We have decided to </w:t>
            </w:r>
            <w:r w:rsidRPr="00517B90" w:rsidR="00517B90">
              <w:rPr>
                <w:rFonts w:ascii="Calibri" w:hAnsi="Calibri"/>
              </w:rPr>
              <w:t>target support for children in Upper Key Stage 2, with a focus on literacy but also mathematics, to increase their readiness for the next stage of their education.</w:t>
            </w:r>
            <w:r w:rsidR="00517B90">
              <w:rPr>
                <w:rFonts w:ascii="Calibri" w:hAnsi="Calibri"/>
              </w:rPr>
              <w:t xml:space="preserve"> In prioritizing this resource for Upper Key Stage 2, it has enabled us to redeploy resources elsewhere in the school too, to ensure that particularly vulnerable cohorts also benefit from a higher level of targeted support.</w:t>
            </w:r>
            <w:r w:rsidR="00F10E63">
              <w:rPr>
                <w:rFonts w:ascii="Calibri" w:hAnsi="Calibri"/>
              </w:rPr>
              <w:t xml:space="preserve"> We have specifically chosen approaches highlighted by the Education Endowment fund as capable of delivering considerable progress in a short amount of time, recognizing that the target children will not be with us at St. Luke’s for that much longer so we need impact for them quickly.</w:t>
            </w:r>
          </w:p>
          <w:p w:rsidR="00517B90" w:rsidP="00305626" w:rsidRDefault="00517B90" w14:paraId="5DAB6C7B" wp14:textId="77777777">
            <w:pPr>
              <w:pStyle w:val="7Tablebodycopy"/>
              <w:rPr>
                <w:rFonts w:ascii="Calibri" w:hAnsi="Calibri"/>
              </w:rPr>
            </w:pPr>
          </w:p>
          <w:p w:rsidR="00517B90" w:rsidP="00305626" w:rsidRDefault="00517B90" w14:paraId="46C92F92" wp14:textId="77777777">
            <w:pPr>
              <w:pStyle w:val="7Tablebodycopy"/>
              <w:rPr>
                <w:rFonts w:ascii="Calibri" w:hAnsi="Calibri"/>
              </w:rPr>
            </w:pPr>
            <w:r>
              <w:rPr>
                <w:rFonts w:ascii="Calibri" w:hAnsi="Calibri"/>
              </w:rPr>
              <w:t>Perhaps not surprisingly, our data gathered at the end of Autumn 1 clearly demonstrates that the impact of Covid-19 is that cohorts are between 1 and 2 terms behind</w:t>
            </w:r>
            <w:r w:rsidR="005508F8">
              <w:rPr>
                <w:rFonts w:ascii="Calibri" w:hAnsi="Calibri"/>
              </w:rPr>
              <w:t xml:space="preserve"> where we would hope they would be</w:t>
            </w:r>
            <w:r>
              <w:rPr>
                <w:rFonts w:ascii="Calibri" w:hAnsi="Calibri"/>
              </w:rPr>
              <w:t xml:space="preserve"> in their learning</w:t>
            </w:r>
            <w:r w:rsidR="005508F8">
              <w:rPr>
                <w:rFonts w:ascii="Calibri" w:hAnsi="Calibri"/>
              </w:rPr>
              <w:t xml:space="preserve"> in the core subjects</w:t>
            </w:r>
            <w:r>
              <w:rPr>
                <w:rFonts w:ascii="Calibri" w:hAnsi="Calibri"/>
              </w:rPr>
              <w:t xml:space="preserve">, but with the impact most clearly seen for the </w:t>
            </w:r>
            <w:r w:rsidR="005508F8">
              <w:rPr>
                <w:rFonts w:ascii="Calibri" w:hAnsi="Calibri"/>
              </w:rPr>
              <w:t>P</w:t>
            </w:r>
            <w:r>
              <w:rPr>
                <w:rFonts w:ascii="Calibri" w:hAnsi="Calibri"/>
              </w:rPr>
              <w:t xml:space="preserve">upil </w:t>
            </w:r>
            <w:r w:rsidR="005508F8">
              <w:rPr>
                <w:rFonts w:ascii="Calibri" w:hAnsi="Calibri"/>
              </w:rPr>
              <w:t>P</w:t>
            </w:r>
            <w:r>
              <w:rPr>
                <w:rFonts w:ascii="Calibri" w:hAnsi="Calibri"/>
              </w:rPr>
              <w:t>remium children who are a lot more vulnerable in their attainment</w:t>
            </w:r>
            <w:r w:rsidR="005508F8">
              <w:rPr>
                <w:rFonts w:ascii="Calibri" w:hAnsi="Calibri"/>
              </w:rPr>
              <w:t xml:space="preserve"> currently</w:t>
            </w:r>
            <w:r>
              <w:rPr>
                <w:rFonts w:ascii="Calibri" w:hAnsi="Calibri"/>
              </w:rPr>
              <w:t xml:space="preserve"> th</w:t>
            </w:r>
            <w:r w:rsidR="005508F8">
              <w:rPr>
                <w:rFonts w:ascii="Calibri" w:hAnsi="Calibri"/>
              </w:rPr>
              <w:t>a</w:t>
            </w:r>
            <w:r>
              <w:rPr>
                <w:rFonts w:ascii="Calibri" w:hAnsi="Calibri"/>
              </w:rPr>
              <w:t>n their peers.</w:t>
            </w:r>
          </w:p>
          <w:p w:rsidR="00517B90" w:rsidP="00305626" w:rsidRDefault="00517B90" w14:paraId="02EB378F" wp14:textId="77777777">
            <w:pPr>
              <w:pStyle w:val="7Tablebodycopy"/>
              <w:rPr>
                <w:rFonts w:ascii="Calibri" w:hAnsi="Calibri"/>
              </w:rPr>
            </w:pPr>
          </w:p>
          <w:p w:rsidR="00517B90" w:rsidP="00305626" w:rsidRDefault="00517B90" w14:paraId="468D208A" wp14:textId="77777777">
            <w:pPr>
              <w:pStyle w:val="7Tablebodycopy"/>
              <w:rPr>
                <w:rFonts w:ascii="Calibri" w:hAnsi="Calibri"/>
              </w:rPr>
            </w:pPr>
            <w:r>
              <w:rPr>
                <w:rFonts w:ascii="Calibri" w:hAnsi="Calibri"/>
              </w:rPr>
              <w:t>Analysis clearly highlights</w:t>
            </w:r>
            <w:r w:rsidR="005508F8">
              <w:rPr>
                <w:rFonts w:ascii="Calibri" w:hAnsi="Calibri"/>
              </w:rPr>
              <w:t xml:space="preserve"> outcomes</w:t>
            </w:r>
            <w:r>
              <w:rPr>
                <w:rFonts w:ascii="Calibri" w:hAnsi="Calibri"/>
              </w:rPr>
              <w:t xml:space="preserve"> where an expectation of engagement in the Remote Learning has been set from home</w:t>
            </w:r>
            <w:r w:rsidR="005508F8">
              <w:rPr>
                <w:rFonts w:ascii="Calibri" w:hAnsi="Calibri"/>
              </w:rPr>
              <w:t xml:space="preserve"> in stark contrast to outcomes </w:t>
            </w:r>
            <w:r>
              <w:rPr>
                <w:rFonts w:ascii="Calibri" w:hAnsi="Calibri"/>
              </w:rPr>
              <w:t>where perhaps the same expectations</w:t>
            </w:r>
            <w:r w:rsidR="009A2B92">
              <w:rPr>
                <w:rFonts w:ascii="Calibri" w:hAnsi="Calibri"/>
              </w:rPr>
              <w:t>, access or</w:t>
            </w:r>
            <w:r>
              <w:rPr>
                <w:rFonts w:ascii="Calibri" w:hAnsi="Calibri"/>
              </w:rPr>
              <w:t xml:space="preserve"> aspirations have not been had of children.</w:t>
            </w:r>
          </w:p>
          <w:p w:rsidR="00517B90" w:rsidP="00305626" w:rsidRDefault="00517B90" w14:paraId="6A05A809" wp14:textId="77777777">
            <w:pPr>
              <w:pStyle w:val="7Tablebodycopy"/>
              <w:rPr>
                <w:rFonts w:ascii="Calibri" w:hAnsi="Calibri"/>
              </w:rPr>
            </w:pPr>
          </w:p>
          <w:p w:rsidR="005508F8" w:rsidP="00305626" w:rsidRDefault="00517B90" w14:paraId="5954344F" wp14:textId="77777777">
            <w:pPr>
              <w:pStyle w:val="7Tablebodycopy"/>
              <w:rPr>
                <w:rFonts w:ascii="Calibri" w:hAnsi="Calibri"/>
              </w:rPr>
            </w:pPr>
            <w:r>
              <w:rPr>
                <w:rFonts w:ascii="Calibri" w:hAnsi="Calibri"/>
              </w:rPr>
              <w:t>Anticipating this issue</w:t>
            </w:r>
            <w:r w:rsidR="005508F8">
              <w:rPr>
                <w:rFonts w:ascii="Calibri" w:hAnsi="Calibri"/>
              </w:rPr>
              <w:t>,</w:t>
            </w:r>
            <w:r>
              <w:rPr>
                <w:rFonts w:ascii="Calibri" w:hAnsi="Calibri"/>
              </w:rPr>
              <w:t xml:space="preserve"> we put an early application in to Teach First, who we have worked with in a different capacity, to ask for an </w:t>
            </w:r>
            <w:r w:rsidR="005508F8">
              <w:rPr>
                <w:rFonts w:ascii="Calibri" w:hAnsi="Calibri"/>
              </w:rPr>
              <w:t>A</w:t>
            </w:r>
            <w:r>
              <w:rPr>
                <w:rFonts w:ascii="Calibri" w:hAnsi="Calibri"/>
              </w:rPr>
              <w:t xml:space="preserve">cademic </w:t>
            </w:r>
            <w:r w:rsidR="005508F8">
              <w:rPr>
                <w:rFonts w:ascii="Calibri" w:hAnsi="Calibri"/>
              </w:rPr>
              <w:t>M</w:t>
            </w:r>
            <w:r>
              <w:rPr>
                <w:rFonts w:ascii="Calibri" w:hAnsi="Calibri"/>
              </w:rPr>
              <w:t>entor</w:t>
            </w:r>
            <w:r w:rsidR="005508F8">
              <w:rPr>
                <w:rFonts w:ascii="Calibri" w:hAnsi="Calibri"/>
              </w:rPr>
              <w:t>, specializing in literacy. We chose this approach, having worked with Teach First before and knowing how ambitious they are as an organization, and how astute their recruitment processes are.</w:t>
            </w:r>
          </w:p>
          <w:p w:rsidR="005508F8" w:rsidP="00305626" w:rsidRDefault="005508F8" w14:paraId="5A39BBE3" wp14:textId="77777777">
            <w:pPr>
              <w:pStyle w:val="7Tablebodycopy"/>
              <w:rPr>
                <w:rFonts w:ascii="Calibri" w:hAnsi="Calibri"/>
              </w:rPr>
            </w:pPr>
          </w:p>
          <w:p w:rsidR="00517B90" w:rsidP="00305626" w:rsidRDefault="005508F8" w14:paraId="519D6278" wp14:textId="77777777">
            <w:pPr>
              <w:pStyle w:val="7Tablebodycopy"/>
              <w:rPr>
                <w:rFonts w:ascii="Calibri" w:hAnsi="Calibri"/>
              </w:rPr>
            </w:pPr>
            <w:r>
              <w:rPr>
                <w:rFonts w:ascii="Calibri" w:hAnsi="Calibri"/>
              </w:rPr>
              <w:t xml:space="preserve">We have been lucky enough to have an Academic Mentor working with us, initially in Year 6, but later on in the year in Year 5, since the start of Autumn 2.  </w:t>
            </w:r>
          </w:p>
          <w:p w:rsidR="00517B90" w:rsidP="00591AC8" w:rsidRDefault="00517B90" w14:paraId="41C8F396" wp14:textId="77777777">
            <w:pPr>
              <w:pStyle w:val="7Tablebodycopy"/>
              <w:rPr>
                <w:rFonts w:ascii="Calibri" w:hAnsi="Calibri"/>
              </w:rPr>
            </w:pPr>
          </w:p>
          <w:p w:rsidRPr="00915676" w:rsidR="000F5556" w:rsidP="00591AC8" w:rsidRDefault="000F5556" w14:paraId="1DC631BC" wp14:textId="77777777">
            <w:pPr>
              <w:pStyle w:val="7Tablebodycopy"/>
              <w:rPr>
                <w:rFonts w:ascii="Calibri" w:hAnsi="Calibri"/>
              </w:rPr>
            </w:pPr>
            <w:r>
              <w:rPr>
                <w:rFonts w:ascii="Calibri" w:hAnsi="Calibri"/>
              </w:rPr>
              <w:t xml:space="preserve">In summary, our overall aims for our </w:t>
            </w:r>
            <w:r w:rsidR="00581E0B">
              <w:rPr>
                <w:rFonts w:ascii="Calibri" w:hAnsi="Calibri"/>
              </w:rPr>
              <w:t>C</w:t>
            </w:r>
            <w:r>
              <w:rPr>
                <w:rFonts w:ascii="Calibri" w:hAnsi="Calibri"/>
              </w:rPr>
              <w:t>atch-</w:t>
            </w:r>
            <w:r w:rsidR="00581E0B">
              <w:rPr>
                <w:rFonts w:ascii="Calibri" w:hAnsi="Calibri"/>
              </w:rPr>
              <w:t>U</w:t>
            </w:r>
            <w:r>
              <w:rPr>
                <w:rFonts w:ascii="Calibri" w:hAnsi="Calibri"/>
              </w:rPr>
              <w:t xml:space="preserve">p </w:t>
            </w:r>
            <w:r w:rsidR="00581E0B">
              <w:rPr>
                <w:rFonts w:ascii="Calibri" w:hAnsi="Calibri"/>
              </w:rPr>
              <w:t>P</w:t>
            </w:r>
            <w:r>
              <w:rPr>
                <w:rFonts w:ascii="Calibri" w:hAnsi="Calibri"/>
              </w:rPr>
              <w:t xml:space="preserve">remium </w:t>
            </w:r>
            <w:r w:rsidR="00581E0B">
              <w:rPr>
                <w:rFonts w:ascii="Calibri" w:hAnsi="Calibri"/>
              </w:rPr>
              <w:t>S</w:t>
            </w:r>
            <w:r>
              <w:rPr>
                <w:rFonts w:ascii="Calibri" w:hAnsi="Calibri"/>
              </w:rPr>
              <w:t>trategy are:</w:t>
            </w:r>
          </w:p>
          <w:p w:rsidRPr="00F4142B" w:rsidR="000F5556" w:rsidP="00581E0B" w:rsidRDefault="000F5556" w14:paraId="317C68C2" wp14:textId="77777777">
            <w:pPr>
              <w:pStyle w:val="7Tablebodycopy"/>
              <w:numPr>
                <w:ilvl w:val="0"/>
                <w:numId w:val="47"/>
              </w:numPr>
              <w:rPr>
                <w:rFonts w:ascii="Calibri" w:hAnsi="Calibri"/>
                <w:b/>
              </w:rPr>
            </w:pPr>
            <w:r w:rsidRPr="00F4142B">
              <w:rPr>
                <w:rFonts w:ascii="Calibri" w:hAnsi="Calibri"/>
                <w:b/>
              </w:rPr>
              <w:t>To raise the attainment of all pupils in</w:t>
            </w:r>
            <w:r w:rsidR="005508F8">
              <w:rPr>
                <w:rFonts w:ascii="Calibri" w:hAnsi="Calibri"/>
                <w:b/>
              </w:rPr>
              <w:t xml:space="preserve"> Years 5 and 6, particularly in writing</w:t>
            </w:r>
            <w:r w:rsidRPr="00F4142B">
              <w:rPr>
                <w:rFonts w:ascii="Calibri" w:hAnsi="Calibri"/>
                <w:b/>
              </w:rPr>
              <w:t xml:space="preserve">. </w:t>
            </w:r>
          </w:p>
          <w:p w:rsidRPr="000F5556" w:rsidR="004E641E" w:rsidP="00581E0B" w:rsidRDefault="00305626" w14:paraId="12E7C2AD" wp14:textId="77777777">
            <w:pPr>
              <w:pStyle w:val="7Tablebodycopy"/>
              <w:numPr>
                <w:ilvl w:val="0"/>
                <w:numId w:val="47"/>
              </w:numPr>
              <w:rPr>
                <w:rFonts w:ascii="Calibri" w:hAnsi="Calibri"/>
              </w:rPr>
            </w:pPr>
            <w:r w:rsidRPr="00F4142B">
              <w:rPr>
                <w:rFonts w:ascii="Calibri" w:hAnsi="Calibri"/>
                <w:b/>
              </w:rPr>
              <w:t xml:space="preserve">To reduce </w:t>
            </w:r>
            <w:r w:rsidRPr="00F4142B" w:rsidR="00426593">
              <w:rPr>
                <w:rFonts w:ascii="Calibri" w:hAnsi="Calibri"/>
                <w:b/>
              </w:rPr>
              <w:t xml:space="preserve">the </w:t>
            </w:r>
            <w:r w:rsidRPr="00F4142B">
              <w:rPr>
                <w:rFonts w:ascii="Calibri" w:hAnsi="Calibri"/>
                <w:b/>
              </w:rPr>
              <w:t xml:space="preserve">attainment gap between </w:t>
            </w:r>
            <w:r w:rsidRPr="00F4142B" w:rsidR="00426593">
              <w:rPr>
                <w:rFonts w:ascii="Calibri" w:hAnsi="Calibri"/>
                <w:b/>
              </w:rPr>
              <w:t>your</w:t>
            </w:r>
            <w:r w:rsidRPr="00F4142B">
              <w:rPr>
                <w:rFonts w:ascii="Calibri" w:hAnsi="Calibri"/>
                <w:b/>
              </w:rPr>
              <w:t xml:space="preserve"> disadvantaged pupils and </w:t>
            </w:r>
            <w:r w:rsidRPr="00F4142B" w:rsidR="00015991">
              <w:rPr>
                <w:rFonts w:ascii="Calibri" w:hAnsi="Calibri"/>
                <w:b/>
              </w:rPr>
              <w:t>their peers</w:t>
            </w:r>
            <w:r w:rsidRPr="00F4142B" w:rsidR="000F5556">
              <w:rPr>
                <w:rFonts w:ascii="Calibri" w:hAnsi="Calibri"/>
                <w:b/>
              </w:rPr>
              <w:t>.</w:t>
            </w:r>
          </w:p>
        </w:tc>
      </w:tr>
    </w:tbl>
    <w:p xmlns:wp14="http://schemas.microsoft.com/office/word/2010/wordml" w:rsidRPr="00F4142B" w:rsidR="00D64BCF" w:rsidP="00D64BCF" w:rsidRDefault="00D64BCF" w14:paraId="72A3D3EC" wp14:textId="77777777">
      <w:pPr>
        <w:pStyle w:val="1bodycopy"/>
        <w:rPr>
          <w:rFonts w:ascii="Calibri" w:hAnsi="Calibri"/>
        </w:rPr>
      </w:pPr>
    </w:p>
    <w:p xmlns:wp14="http://schemas.microsoft.com/office/word/2010/wordml" w:rsidRPr="00F4142B" w:rsidR="004B319B" w:rsidP="00E34C23" w:rsidRDefault="009A2B92" w14:paraId="670AC4EC" wp14:textId="77777777">
      <w:pPr>
        <w:pStyle w:val="2Subheadpink"/>
        <w:rPr>
          <w:rFonts w:ascii="Calibri" w:hAnsi="Calibri"/>
          <w:color w:val="4472C4"/>
        </w:rPr>
      </w:pPr>
      <w:r>
        <w:rPr>
          <w:rFonts w:ascii="Calibri" w:hAnsi="Calibri"/>
          <w:color w:val="4472C4"/>
        </w:rPr>
        <w:br w:type="page"/>
      </w:r>
      <w:r w:rsidRPr="00F4142B" w:rsidR="006846AC">
        <w:rPr>
          <w:rFonts w:ascii="Calibri" w:hAnsi="Calibri"/>
          <w:color w:val="4472C4"/>
        </w:rPr>
        <w:t>B</w:t>
      </w:r>
      <w:r w:rsidRPr="00F4142B" w:rsidR="007773FB">
        <w:rPr>
          <w:rFonts w:ascii="Calibri" w:hAnsi="Calibri"/>
          <w:color w:val="4472C4"/>
        </w:rPr>
        <w:t>arriers to learning</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967"/>
        <w:gridCol w:w="13686"/>
      </w:tblGrid>
      <w:tr xmlns:wp14="http://schemas.microsoft.com/office/word/2010/wordml" w:rsidRPr="00F4142B" w:rsidR="007773FB" w:rsidTr="002A028C" w14:paraId="1DE1E36C" wp14:textId="77777777">
        <w:trPr>
          <w:cantSplit/>
        </w:trPr>
        <w:tc>
          <w:tcPr>
            <w:tcW w:w="14653"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F4142B" w:rsidR="007773FB" w:rsidP="000F7F20" w:rsidRDefault="007773FB" w14:paraId="48087505" wp14:textId="77777777">
            <w:pPr>
              <w:pStyle w:val="1bodycopy"/>
              <w:spacing w:after="0"/>
              <w:rPr>
                <w:rFonts w:ascii="Calibri" w:hAnsi="Calibri"/>
                <w:caps/>
                <w:color w:val="F8F8F8"/>
              </w:rPr>
            </w:pPr>
            <w:r w:rsidRPr="00F4142B">
              <w:rPr>
                <w:rFonts w:ascii="Calibri" w:hAnsi="Calibri"/>
                <w:caps/>
                <w:color w:val="F8F8F8"/>
              </w:rPr>
              <w:t>barriers to future attainment</w:t>
            </w:r>
          </w:p>
        </w:tc>
      </w:tr>
      <w:tr xmlns:wp14="http://schemas.microsoft.com/office/word/2010/wordml" w:rsidRPr="00F4142B" w:rsidR="007773FB" w:rsidTr="007F2714" w14:paraId="5E17039B" wp14:textId="77777777">
        <w:trPr>
          <w:cantSplit/>
        </w:trPr>
        <w:tc>
          <w:tcPr>
            <w:tcW w:w="14653" w:type="dxa"/>
            <w:gridSpan w:val="2"/>
            <w:shd w:val="clear" w:color="auto" w:fill="9CC2E5"/>
            <w:tcMar>
              <w:top w:w="113" w:type="dxa"/>
              <w:bottom w:w="113" w:type="dxa"/>
            </w:tcMar>
          </w:tcPr>
          <w:p w:rsidRPr="00F4142B" w:rsidR="007773FB" w:rsidP="000F7F20" w:rsidRDefault="007773FB" w14:paraId="29B15451" wp14:textId="77777777">
            <w:pPr>
              <w:pStyle w:val="7Tablebodybulleted"/>
              <w:numPr>
                <w:ilvl w:val="0"/>
                <w:numId w:val="0"/>
              </w:numPr>
              <w:rPr>
                <w:rFonts w:ascii="Calibri" w:hAnsi="Calibri"/>
                <w:i/>
              </w:rPr>
            </w:pPr>
            <w:r w:rsidRPr="00F4142B">
              <w:rPr>
                <w:rFonts w:ascii="Calibri" w:hAnsi="Calibri"/>
              </w:rPr>
              <w:t>Academic barriers:</w:t>
            </w:r>
          </w:p>
        </w:tc>
      </w:tr>
      <w:tr xmlns:wp14="http://schemas.microsoft.com/office/word/2010/wordml" w:rsidRPr="00F4142B" w:rsidR="007773FB" w:rsidTr="002A028C" w14:paraId="09056834" wp14:textId="77777777">
        <w:trPr>
          <w:cantSplit/>
        </w:trPr>
        <w:tc>
          <w:tcPr>
            <w:tcW w:w="967" w:type="dxa"/>
            <w:shd w:val="clear" w:color="auto" w:fill="auto"/>
            <w:tcMar>
              <w:top w:w="113" w:type="dxa"/>
              <w:bottom w:w="113" w:type="dxa"/>
            </w:tcMar>
          </w:tcPr>
          <w:p w:rsidRPr="00F4142B" w:rsidR="007773FB" w:rsidP="000F7F20" w:rsidRDefault="007773FB" w14:paraId="5316D17B" wp14:textId="77777777">
            <w:pPr>
              <w:pStyle w:val="7Tablebodybulleted"/>
              <w:numPr>
                <w:ilvl w:val="0"/>
                <w:numId w:val="0"/>
              </w:numPr>
              <w:rPr>
                <w:rFonts w:ascii="Calibri" w:hAnsi="Calibri"/>
                <w:highlight w:val="yellow"/>
              </w:rPr>
            </w:pPr>
            <w:r w:rsidRPr="00F4142B">
              <w:rPr>
                <w:rFonts w:ascii="Calibri" w:hAnsi="Calibri"/>
              </w:rPr>
              <w:t>A</w:t>
            </w:r>
          </w:p>
        </w:tc>
        <w:tc>
          <w:tcPr>
            <w:tcW w:w="13686" w:type="dxa"/>
            <w:shd w:val="clear" w:color="auto" w:fill="auto"/>
          </w:tcPr>
          <w:p w:rsidRPr="00F4142B" w:rsidR="007773FB" w:rsidP="000F7F20" w:rsidRDefault="008D5357" w14:paraId="5F1DC23F" wp14:textId="77777777">
            <w:pPr>
              <w:pStyle w:val="7Tablebodycopy"/>
              <w:rPr>
                <w:rFonts w:ascii="Calibri" w:hAnsi="Calibri"/>
              </w:rPr>
            </w:pPr>
            <w:r>
              <w:rPr>
                <w:rFonts w:ascii="Calibri" w:hAnsi="Calibri"/>
              </w:rPr>
              <w:t>Low levels of literacy for some members of our community is an ongoing concern for us</w:t>
            </w:r>
            <w:r w:rsidRPr="00F4142B" w:rsidR="009A2B92">
              <w:rPr>
                <w:rFonts w:ascii="Calibri" w:hAnsi="Calibri"/>
              </w:rPr>
              <w:t>. This is most noticeable in the language and communication aspects of learning early on, and the fact that many of our children come from backgrounds where there is</w:t>
            </w:r>
            <w:r w:rsidR="004D665C">
              <w:rPr>
                <w:rFonts w:ascii="Calibri" w:hAnsi="Calibri"/>
              </w:rPr>
              <w:t xml:space="preserve"> no</w:t>
            </w:r>
            <w:r w:rsidRPr="00F4142B" w:rsidR="009A2B92">
              <w:rPr>
                <w:rFonts w:ascii="Calibri" w:hAnsi="Calibri"/>
              </w:rPr>
              <w:t xml:space="preserve">t a good model of spoken Standard English for families where English is the first language. </w:t>
            </w:r>
            <w:r w:rsidR="004D665C">
              <w:rPr>
                <w:rFonts w:ascii="Calibri" w:hAnsi="Calibri"/>
              </w:rPr>
              <w:t>Our experience is that this can then impact negatively on children’s outcomes in writing</w:t>
            </w:r>
            <w:r>
              <w:rPr>
                <w:rFonts w:ascii="Calibri" w:hAnsi="Calibri"/>
              </w:rPr>
              <w:t>.</w:t>
            </w:r>
            <w:r w:rsidR="004D665C">
              <w:rPr>
                <w:rFonts w:ascii="Calibri" w:hAnsi="Calibri"/>
              </w:rPr>
              <w:t xml:space="preserve"> With extended periods of time at home we anticipated that our children may need additional support in re-establishing their command of formal standard English in their speech and then also in their writing.</w:t>
            </w:r>
          </w:p>
        </w:tc>
      </w:tr>
      <w:tr xmlns:wp14="http://schemas.microsoft.com/office/word/2010/wordml" w:rsidRPr="00F4142B" w:rsidR="007773FB" w:rsidTr="002A028C" w14:paraId="6075249A" wp14:textId="77777777">
        <w:trPr>
          <w:cantSplit/>
        </w:trPr>
        <w:tc>
          <w:tcPr>
            <w:tcW w:w="967" w:type="dxa"/>
            <w:shd w:val="clear" w:color="auto" w:fill="auto"/>
            <w:tcMar>
              <w:top w:w="113" w:type="dxa"/>
              <w:bottom w:w="113" w:type="dxa"/>
            </w:tcMar>
          </w:tcPr>
          <w:p w:rsidRPr="00F4142B" w:rsidR="007773FB" w:rsidP="000F7F20" w:rsidRDefault="007773FB" w14:paraId="61ED4E73" wp14:textId="77777777">
            <w:pPr>
              <w:pStyle w:val="7Tablebodycopy"/>
              <w:rPr>
                <w:rFonts w:ascii="Calibri" w:hAnsi="Calibri"/>
              </w:rPr>
            </w:pPr>
            <w:r w:rsidRPr="00F4142B">
              <w:rPr>
                <w:rFonts w:ascii="Calibri" w:hAnsi="Calibri"/>
              </w:rPr>
              <w:t>B</w:t>
            </w:r>
          </w:p>
        </w:tc>
        <w:tc>
          <w:tcPr>
            <w:tcW w:w="13686" w:type="dxa"/>
            <w:shd w:val="clear" w:color="auto" w:fill="auto"/>
            <w:tcMar>
              <w:top w:w="113" w:type="dxa"/>
              <w:bottom w:w="113" w:type="dxa"/>
            </w:tcMar>
          </w:tcPr>
          <w:p w:rsidRPr="00F4142B" w:rsidR="007773FB" w:rsidP="000F7F20" w:rsidRDefault="008D5357" w14:paraId="6713B23E" wp14:textId="77777777">
            <w:pPr>
              <w:pStyle w:val="7Tablebodycopy"/>
              <w:rPr>
                <w:rFonts w:ascii="Calibri" w:hAnsi="Calibri"/>
              </w:rPr>
            </w:pPr>
            <w:r w:rsidRPr="00F4142B">
              <w:rPr>
                <w:rFonts w:ascii="Calibri" w:hAnsi="Calibri"/>
              </w:rPr>
              <w:t>The school has far higher than average numbers of children eligible for Pupil Premium. This was a significant issue during lock down as it was often these families who struggled to engage with the Remote Learning for a host of different reasons including lack of access to devices, lack of an adult at home to support the learning, lack of a quiet space for the learning etc. Families eligible for Pupil Premium suffered considerably during lockdown with issues associated with income, housing and feeding families at home full time. As a consequence, learning was understandably not always at the top of the worry list but anxiety and worry also prevented the children from being allowed to attend school if places were available.</w:t>
            </w:r>
          </w:p>
        </w:tc>
      </w:tr>
      <w:tr xmlns:wp14="http://schemas.microsoft.com/office/word/2010/wordml" w:rsidRPr="00F4142B" w:rsidR="005231B7" w:rsidTr="002A028C" w14:paraId="7A521F71" wp14:textId="77777777">
        <w:trPr>
          <w:cantSplit/>
        </w:trPr>
        <w:tc>
          <w:tcPr>
            <w:tcW w:w="967" w:type="dxa"/>
            <w:shd w:val="clear" w:color="auto" w:fill="auto"/>
            <w:tcMar>
              <w:top w:w="113" w:type="dxa"/>
              <w:bottom w:w="113" w:type="dxa"/>
            </w:tcMar>
          </w:tcPr>
          <w:p w:rsidRPr="00F4142B" w:rsidR="005231B7" w:rsidP="000F7F20" w:rsidRDefault="005231B7" w14:paraId="37AAF844" wp14:textId="77777777">
            <w:pPr>
              <w:pStyle w:val="7Tablebodycopy"/>
              <w:rPr>
                <w:rFonts w:ascii="Calibri" w:hAnsi="Calibri"/>
              </w:rPr>
            </w:pPr>
            <w:r w:rsidRPr="00F4142B">
              <w:rPr>
                <w:rFonts w:ascii="Calibri" w:hAnsi="Calibri"/>
              </w:rPr>
              <w:t>C</w:t>
            </w:r>
          </w:p>
        </w:tc>
        <w:tc>
          <w:tcPr>
            <w:tcW w:w="13686" w:type="dxa"/>
            <w:shd w:val="clear" w:color="auto" w:fill="auto"/>
            <w:tcMar>
              <w:top w:w="113" w:type="dxa"/>
              <w:bottom w:w="113" w:type="dxa"/>
            </w:tcMar>
          </w:tcPr>
          <w:p w:rsidR="008D5357" w:rsidP="000F7F20" w:rsidRDefault="008D5357" w14:paraId="1A1BB988" wp14:textId="77777777">
            <w:pPr>
              <w:pStyle w:val="7Tablebodycopy"/>
              <w:rPr>
                <w:rFonts w:ascii="Calibri" w:hAnsi="Calibri"/>
              </w:rPr>
            </w:pPr>
            <w:r>
              <w:rPr>
                <w:rFonts w:ascii="Calibri" w:hAnsi="Calibri"/>
              </w:rPr>
              <w:t xml:space="preserve">High levels of mobility can be a challenge for us at St. Luke’s. We tend to experience significant numbers of families moving off from the Island as the families grow and the children get older. These families are often ambitious families who are seeking the grammar schools. As families move away, families new to the borough and often new to the country then take their places. </w:t>
            </w:r>
          </w:p>
          <w:p w:rsidR="005231B7" w:rsidP="000F7F20" w:rsidRDefault="008D5357" w14:paraId="33B9901E" wp14:textId="77777777">
            <w:pPr>
              <w:pStyle w:val="7Tablebodycopy"/>
              <w:rPr>
                <w:rFonts w:ascii="Calibri" w:hAnsi="Calibri"/>
              </w:rPr>
            </w:pPr>
            <w:r>
              <w:rPr>
                <w:rFonts w:ascii="Calibri" w:hAnsi="Calibri"/>
              </w:rPr>
              <w:t>Whilst having people join our school is enriching in many ways, it can mean that decisions regarding the deployment of resources are regularly being refreshed. Teachers are also having to regularly adjust planning and to assess new arrivals. New children joining classes can also impact upon the dynamic of the class an</w:t>
            </w:r>
            <w:r w:rsidR="00F7498B">
              <w:rPr>
                <w:rFonts w:ascii="Calibri" w:hAnsi="Calibri"/>
              </w:rPr>
              <w:t>d</w:t>
            </w:r>
            <w:r>
              <w:rPr>
                <w:rFonts w:ascii="Calibri" w:hAnsi="Calibri"/>
              </w:rPr>
              <w:t xml:space="preserve"> pupil relationships. If the higher attainers are regularly moving on, maintaining the higher expectations in a class can be challenging. And all of this ‘change’ can challenge the pace of learning. </w:t>
            </w:r>
          </w:p>
          <w:p w:rsidRPr="00F4142B" w:rsidR="008D5357" w:rsidP="000F7F20" w:rsidRDefault="008D5357" w14:paraId="1FFC1FD1" wp14:textId="77777777">
            <w:pPr>
              <w:pStyle w:val="7Tablebodycopy"/>
              <w:rPr>
                <w:rFonts w:ascii="Calibri" w:hAnsi="Calibri"/>
              </w:rPr>
            </w:pPr>
            <w:r>
              <w:rPr>
                <w:rFonts w:ascii="Calibri" w:hAnsi="Calibri"/>
              </w:rPr>
              <w:t xml:space="preserve">We have found that one result of the Covid-19 pandemic coupled with Brexit, is an increase in pupil mobility. </w:t>
            </w:r>
          </w:p>
        </w:tc>
      </w:tr>
    </w:tbl>
    <w:p xmlns:wp14="http://schemas.microsoft.com/office/word/2010/wordml" w:rsidR="00F7498B" w:rsidP="003E0BF0" w:rsidRDefault="00F7498B" w14:paraId="0D0B940D" wp14:textId="77777777">
      <w:pPr>
        <w:pStyle w:val="2Subheadpink"/>
        <w:rPr>
          <w:rFonts w:ascii="Calibri" w:hAnsi="Calibri"/>
          <w:color w:val="4472C4"/>
        </w:rPr>
      </w:pPr>
    </w:p>
    <w:p xmlns:wp14="http://schemas.microsoft.com/office/word/2010/wordml" w:rsidR="00F7498B" w:rsidP="003E0BF0" w:rsidRDefault="00F7498B" w14:paraId="0E27B00A" wp14:textId="77777777">
      <w:pPr>
        <w:pStyle w:val="2Subheadpink"/>
        <w:rPr>
          <w:rFonts w:ascii="Calibri" w:hAnsi="Calibri"/>
          <w:color w:val="4472C4"/>
        </w:rPr>
      </w:pPr>
    </w:p>
    <w:p xmlns:wp14="http://schemas.microsoft.com/office/word/2010/wordml" w:rsidR="00F7498B" w:rsidP="003E0BF0" w:rsidRDefault="00F7498B" w14:paraId="60061E4C" wp14:textId="77777777">
      <w:pPr>
        <w:pStyle w:val="2Subheadpink"/>
        <w:rPr>
          <w:rFonts w:ascii="Calibri" w:hAnsi="Calibri"/>
          <w:color w:val="4472C4"/>
        </w:rPr>
      </w:pPr>
    </w:p>
    <w:p xmlns:wp14="http://schemas.microsoft.com/office/word/2010/wordml" w:rsidRPr="00F4142B" w:rsidR="00BB4DD5" w:rsidP="003E0BF0" w:rsidRDefault="007773FB" w14:paraId="178F3EFE" wp14:textId="77777777">
      <w:pPr>
        <w:pStyle w:val="2Subheadpink"/>
        <w:rPr>
          <w:rFonts w:ascii="Calibri" w:hAnsi="Calibri"/>
          <w:color w:val="4472C4"/>
        </w:rPr>
      </w:pPr>
      <w:r w:rsidRPr="00F4142B">
        <w:rPr>
          <w:rFonts w:ascii="Calibri" w:hAnsi="Calibri"/>
          <w:color w:val="4472C4"/>
        </w:rPr>
        <w:t>Planned expenditure</w:t>
      </w:r>
      <w:r w:rsidRPr="00F4142B" w:rsidR="00A006CF">
        <w:rPr>
          <w:rFonts w:ascii="Calibri" w:hAnsi="Calibri"/>
          <w:color w:val="4472C4"/>
        </w:rPr>
        <w:t xml:space="preserve"> for </w:t>
      </w:r>
      <w:r w:rsidRPr="00F4142B" w:rsidR="00117765">
        <w:rPr>
          <w:rFonts w:ascii="Calibri" w:hAnsi="Calibri"/>
          <w:color w:val="4472C4"/>
        </w:rPr>
        <w:t>current</w:t>
      </w:r>
      <w:r w:rsidRPr="00F4142B" w:rsidR="00A006CF">
        <w:rPr>
          <w:rFonts w:ascii="Calibri" w:hAnsi="Calibri"/>
          <w:color w:val="4472C4"/>
        </w:rPr>
        <w:t xml:space="preserve"> academic year</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581"/>
        <w:gridCol w:w="2040"/>
        <w:gridCol w:w="4985"/>
        <w:gridCol w:w="3199"/>
        <w:gridCol w:w="1405"/>
        <w:gridCol w:w="1443"/>
      </w:tblGrid>
      <w:tr xmlns:wp14="http://schemas.microsoft.com/office/word/2010/wordml" w:rsidRPr="00F4142B" w:rsidR="007773FB" w:rsidTr="50B2B2BA" w14:paraId="4AA9F878" wp14:textId="77777777">
        <w:trPr>
          <w:cantSplit/>
        </w:trPr>
        <w:tc>
          <w:tcPr>
            <w:tcW w:w="14879" w:type="dxa"/>
            <w:gridSpan w:val="6"/>
            <w:shd w:val="clear" w:color="auto" w:fill="9CC2E5" w:themeFill="accent5" w:themeFillTint="99"/>
            <w:tcMar>
              <w:top w:w="113" w:type="dxa"/>
              <w:bottom w:w="113" w:type="dxa"/>
            </w:tcMar>
          </w:tcPr>
          <w:p w:rsidRPr="00F4142B" w:rsidR="007773FB" w:rsidP="000F7F20" w:rsidRDefault="007773FB" w14:paraId="780D432F" wp14:textId="77777777">
            <w:pPr>
              <w:pStyle w:val="7Tablebodycopy"/>
              <w:rPr>
                <w:rFonts w:ascii="Calibri" w:hAnsi="Calibri"/>
              </w:rPr>
            </w:pPr>
            <w:r w:rsidRPr="00F4142B">
              <w:rPr>
                <w:rFonts w:ascii="Calibri" w:hAnsi="Calibri"/>
              </w:rPr>
              <w:t>Quality of teaching for all</w:t>
            </w:r>
          </w:p>
        </w:tc>
      </w:tr>
      <w:tr xmlns:wp14="http://schemas.microsoft.com/office/word/2010/wordml" w:rsidRPr="00F4142B" w:rsidR="00F10E63" w:rsidTr="50B2B2BA" w14:paraId="3499F6EB" wp14:textId="77777777">
        <w:trPr>
          <w:cantSplit/>
        </w:trPr>
        <w:tc>
          <w:tcPr>
            <w:tcW w:w="1600" w:type="dxa"/>
            <w:shd w:val="clear" w:color="auto" w:fill="auto"/>
            <w:tcMar>
              <w:top w:w="113" w:type="dxa"/>
              <w:bottom w:w="113" w:type="dxa"/>
            </w:tcMar>
          </w:tcPr>
          <w:p w:rsidRPr="00F4142B" w:rsidR="007773FB" w:rsidP="007773FB" w:rsidRDefault="007773FB" w14:paraId="5CE446E2" wp14:textId="77777777">
            <w:pPr>
              <w:pStyle w:val="7Tablebodycopy"/>
              <w:rPr>
                <w:rFonts w:ascii="Calibri" w:hAnsi="Calibri"/>
              </w:rPr>
            </w:pPr>
            <w:r w:rsidRPr="00F4142B">
              <w:rPr>
                <w:rFonts w:ascii="Calibri" w:hAnsi="Calibri"/>
              </w:rPr>
              <w:t>Action</w:t>
            </w:r>
          </w:p>
        </w:tc>
        <w:tc>
          <w:tcPr>
            <w:tcW w:w="2086" w:type="dxa"/>
            <w:shd w:val="clear" w:color="auto" w:fill="auto"/>
            <w:tcMar>
              <w:top w:w="113" w:type="dxa"/>
              <w:bottom w:w="113" w:type="dxa"/>
            </w:tcMar>
          </w:tcPr>
          <w:p w:rsidRPr="00F4142B" w:rsidR="007773FB" w:rsidP="007773FB" w:rsidRDefault="007773FB" w14:paraId="12DFC7DC" wp14:textId="77777777">
            <w:pPr>
              <w:pStyle w:val="7Tablebodycopy"/>
              <w:rPr>
                <w:rFonts w:ascii="Calibri" w:hAnsi="Calibri"/>
              </w:rPr>
            </w:pPr>
            <w:r w:rsidRPr="00F4142B">
              <w:rPr>
                <w:rFonts w:ascii="Calibri" w:hAnsi="Calibri"/>
              </w:rPr>
              <w:t>Intended outcome</w:t>
            </w:r>
            <w:r w:rsidRPr="00F4142B" w:rsidR="00D86FD0">
              <w:rPr>
                <w:rFonts w:ascii="Calibri" w:hAnsi="Calibri"/>
              </w:rPr>
              <w:t xml:space="preserve"> and</w:t>
            </w:r>
            <w:r w:rsidRPr="00F4142B" w:rsidR="00015991">
              <w:rPr>
                <w:rFonts w:ascii="Calibri" w:hAnsi="Calibri"/>
              </w:rPr>
              <w:t xml:space="preserve"> success criteria</w:t>
            </w:r>
          </w:p>
        </w:tc>
        <w:tc>
          <w:tcPr>
            <w:tcW w:w="4981" w:type="dxa"/>
            <w:tcMar/>
          </w:tcPr>
          <w:p w:rsidRPr="00F4142B" w:rsidR="007773FB" w:rsidP="007773FB" w:rsidRDefault="00A006CF" w14:paraId="6A5AE2E4" wp14:textId="77777777">
            <w:pPr>
              <w:pStyle w:val="7Tablebodybulleted"/>
              <w:numPr>
                <w:ilvl w:val="0"/>
                <w:numId w:val="0"/>
              </w:numPr>
              <w:rPr>
                <w:rFonts w:ascii="Calibri" w:hAnsi="Calibri"/>
              </w:rPr>
            </w:pPr>
            <w:r w:rsidRPr="00F4142B">
              <w:rPr>
                <w:rFonts w:ascii="Calibri" w:hAnsi="Calibri"/>
              </w:rPr>
              <w:t>What’</w:t>
            </w:r>
            <w:r w:rsidRPr="00F4142B" w:rsidR="007773FB">
              <w:rPr>
                <w:rFonts w:ascii="Calibri" w:hAnsi="Calibri"/>
              </w:rPr>
              <w:t>s the evidence and rationale for this choice?</w:t>
            </w:r>
          </w:p>
        </w:tc>
        <w:tc>
          <w:tcPr>
            <w:tcW w:w="3321" w:type="dxa"/>
            <w:tcMar/>
          </w:tcPr>
          <w:p w:rsidRPr="00F4142B" w:rsidR="007773FB" w:rsidP="00A006CF" w:rsidRDefault="007773FB" w14:paraId="165FFCDE" wp14:textId="77777777">
            <w:pPr>
              <w:pStyle w:val="7Tablebodybulleted"/>
              <w:numPr>
                <w:ilvl w:val="0"/>
                <w:numId w:val="0"/>
              </w:numPr>
              <w:ind w:right="27"/>
              <w:rPr>
                <w:rFonts w:ascii="Calibri" w:hAnsi="Calibri"/>
              </w:rPr>
            </w:pPr>
            <w:r w:rsidRPr="00F4142B">
              <w:rPr>
                <w:rFonts w:ascii="Calibri" w:hAnsi="Calibri"/>
              </w:rPr>
              <w:t xml:space="preserve">How will you </w:t>
            </w:r>
            <w:r w:rsidRPr="00F4142B" w:rsidR="00A006CF">
              <w:rPr>
                <w:rFonts w:ascii="Calibri" w:hAnsi="Calibri"/>
              </w:rPr>
              <w:t>make sure it’</w:t>
            </w:r>
            <w:r w:rsidRPr="00F4142B">
              <w:rPr>
                <w:rFonts w:ascii="Calibri" w:hAnsi="Calibri"/>
              </w:rPr>
              <w:t>s implemented well?</w:t>
            </w:r>
          </w:p>
        </w:tc>
        <w:tc>
          <w:tcPr>
            <w:tcW w:w="1430" w:type="dxa"/>
            <w:tcMar/>
          </w:tcPr>
          <w:p w:rsidRPr="00F4142B" w:rsidR="007773FB" w:rsidP="007773FB" w:rsidRDefault="007773FB" w14:paraId="6F98BDB1" wp14:textId="77777777">
            <w:pPr>
              <w:pStyle w:val="7Tablebodybulleted"/>
              <w:numPr>
                <w:ilvl w:val="0"/>
                <w:numId w:val="0"/>
              </w:numPr>
              <w:rPr>
                <w:rFonts w:ascii="Calibri" w:hAnsi="Calibri"/>
              </w:rPr>
            </w:pPr>
            <w:r w:rsidRPr="00F4142B">
              <w:rPr>
                <w:rFonts w:ascii="Calibri" w:hAnsi="Calibri"/>
              </w:rPr>
              <w:t>Staff lead</w:t>
            </w:r>
          </w:p>
        </w:tc>
        <w:tc>
          <w:tcPr>
            <w:tcW w:w="1461" w:type="dxa"/>
            <w:tcMar/>
          </w:tcPr>
          <w:p w:rsidRPr="00F4142B" w:rsidR="007773FB" w:rsidP="007773FB" w:rsidRDefault="007773FB" w14:paraId="43894F76" wp14:textId="77777777">
            <w:pPr>
              <w:pStyle w:val="7Tablebodybulleted"/>
              <w:numPr>
                <w:ilvl w:val="0"/>
                <w:numId w:val="0"/>
              </w:numPr>
              <w:ind w:right="-18"/>
              <w:rPr>
                <w:rFonts w:ascii="Calibri" w:hAnsi="Calibri"/>
              </w:rPr>
            </w:pPr>
            <w:r w:rsidRPr="00F4142B">
              <w:rPr>
                <w:rFonts w:ascii="Calibri" w:hAnsi="Calibri"/>
              </w:rPr>
              <w:t>When will you review this?</w:t>
            </w:r>
          </w:p>
        </w:tc>
      </w:tr>
      <w:tr xmlns:wp14="http://schemas.microsoft.com/office/word/2010/wordml" w:rsidRPr="00F4142B" w:rsidR="00F10E63" w:rsidTr="50B2B2BA" w14:paraId="367D5586" wp14:textId="77777777">
        <w:trPr>
          <w:cantSplit/>
        </w:trPr>
        <w:tc>
          <w:tcPr>
            <w:tcW w:w="1600" w:type="dxa"/>
            <w:shd w:val="clear" w:color="auto" w:fill="auto"/>
            <w:tcMar>
              <w:top w:w="113" w:type="dxa"/>
              <w:bottom w:w="113" w:type="dxa"/>
            </w:tcMar>
          </w:tcPr>
          <w:p w:rsidRPr="00F4142B" w:rsidR="007773FB" w:rsidP="007773FB" w:rsidRDefault="00F7498B" w14:paraId="04573E4B" wp14:textId="77777777">
            <w:pPr>
              <w:pStyle w:val="7Tablebodycopy"/>
              <w:rPr>
                <w:rFonts w:ascii="Calibri" w:hAnsi="Calibri"/>
              </w:rPr>
            </w:pPr>
            <w:r>
              <w:rPr>
                <w:rFonts w:ascii="Calibri" w:hAnsi="Calibri"/>
              </w:rPr>
              <w:t>Appointment of an Academic Mentor to support in classes, alongside the class teaching teams thereby enabling children to benefit from an increased amount of support and feedback during their learning.</w:t>
            </w:r>
          </w:p>
        </w:tc>
        <w:tc>
          <w:tcPr>
            <w:tcW w:w="2086" w:type="dxa"/>
            <w:shd w:val="clear" w:color="auto" w:fill="auto"/>
            <w:tcMar>
              <w:top w:w="113" w:type="dxa"/>
              <w:bottom w:w="113" w:type="dxa"/>
            </w:tcMar>
          </w:tcPr>
          <w:p w:rsidR="007773FB" w:rsidP="007773FB" w:rsidRDefault="00F7498B" w14:paraId="27D75B0F" wp14:textId="77777777">
            <w:pPr>
              <w:pStyle w:val="7Tablebodycopy"/>
              <w:rPr>
                <w:rFonts w:ascii="Calibri" w:hAnsi="Calibri"/>
              </w:rPr>
            </w:pPr>
            <w:r>
              <w:rPr>
                <w:rFonts w:ascii="Calibri" w:hAnsi="Calibri"/>
              </w:rPr>
              <w:t>In year tracking data demonstrates that by the end of the year:</w:t>
            </w:r>
          </w:p>
          <w:p w:rsidR="00F7498B" w:rsidP="007773FB" w:rsidRDefault="00F7498B" w14:paraId="4A409822" wp14:textId="77777777">
            <w:pPr>
              <w:pStyle w:val="7Tablebodycopy"/>
              <w:rPr>
                <w:rFonts w:ascii="Calibri" w:hAnsi="Calibri"/>
              </w:rPr>
            </w:pPr>
            <w:r>
              <w:rPr>
                <w:rFonts w:ascii="Calibri" w:hAnsi="Calibri"/>
              </w:rPr>
              <w:t>75% children achieve the expected outcomes in Reading.</w:t>
            </w:r>
          </w:p>
          <w:p w:rsidR="00F7498B" w:rsidP="007773FB" w:rsidRDefault="00F7498B" w14:paraId="65D1A9C4" wp14:textId="77777777">
            <w:pPr>
              <w:pStyle w:val="7Tablebodycopy"/>
              <w:rPr>
                <w:rFonts w:ascii="Calibri" w:hAnsi="Calibri"/>
              </w:rPr>
            </w:pPr>
            <w:r>
              <w:rPr>
                <w:rFonts w:ascii="Calibri" w:hAnsi="Calibri"/>
              </w:rPr>
              <w:t>71% children achieve the expected outcomes in Writing.</w:t>
            </w:r>
          </w:p>
          <w:p w:rsidR="00F7498B" w:rsidP="007773FB" w:rsidRDefault="00F7498B" w14:paraId="4B89FFE3" wp14:textId="77777777">
            <w:pPr>
              <w:pStyle w:val="7Tablebodycopy"/>
              <w:rPr>
                <w:rFonts w:ascii="Calibri" w:hAnsi="Calibri"/>
              </w:rPr>
            </w:pPr>
            <w:r>
              <w:rPr>
                <w:rFonts w:ascii="Calibri" w:hAnsi="Calibri"/>
              </w:rPr>
              <w:t>83% children achieve the expected outcome in mathematics.</w:t>
            </w:r>
          </w:p>
          <w:p w:rsidR="00F7498B" w:rsidP="007773FB" w:rsidRDefault="00F7498B" w14:paraId="06269F0D" wp14:textId="77777777">
            <w:pPr>
              <w:pStyle w:val="7Tablebodycopy"/>
              <w:rPr>
                <w:rFonts w:ascii="Calibri" w:hAnsi="Calibri"/>
              </w:rPr>
            </w:pPr>
            <w:r>
              <w:rPr>
                <w:rFonts w:ascii="Calibri" w:hAnsi="Calibri"/>
              </w:rPr>
              <w:t>71% achieve expected combined outcomes in R, W and M.</w:t>
            </w:r>
          </w:p>
          <w:p w:rsidRPr="00F4142B" w:rsidR="00F7498B" w:rsidP="007773FB" w:rsidRDefault="00F7498B" w14:paraId="44EAFD9C" wp14:textId="77777777">
            <w:pPr>
              <w:pStyle w:val="7Tablebodycopy"/>
              <w:rPr>
                <w:rFonts w:ascii="Calibri" w:hAnsi="Calibri"/>
              </w:rPr>
            </w:pPr>
          </w:p>
        </w:tc>
        <w:tc>
          <w:tcPr>
            <w:tcW w:w="4981" w:type="dxa"/>
            <w:tcMar/>
          </w:tcPr>
          <w:p w:rsidRPr="00F4142B" w:rsidR="00EF40B6" w:rsidP="00EF40B6" w:rsidRDefault="00EF40B6" w14:paraId="4B94D5A5" wp14:textId="77777777">
            <w:pPr>
              <w:pStyle w:val="7Tablecopybulleted"/>
              <w:numPr>
                <w:ilvl w:val="0"/>
                <w:numId w:val="0"/>
              </w:numPr>
              <w:rPr>
                <w:rFonts w:ascii="Calibri" w:hAnsi="Calibri"/>
                <w:highlight w:val="yellow"/>
              </w:rPr>
            </w:pPr>
          </w:p>
          <w:p w:rsidRPr="001E7E08" w:rsidR="001E7E08" w:rsidP="001E7E08" w:rsidRDefault="001E7E08" w14:paraId="3DEAE04C" wp14:textId="77777777">
            <w:pPr>
              <w:pStyle w:val="7Tablecopybulleted"/>
              <w:numPr>
                <w:ilvl w:val="0"/>
                <w:numId w:val="0"/>
              </w:numPr>
              <w:rPr>
                <w:rFonts w:ascii="Calibri" w:hAnsi="Calibri"/>
              </w:rPr>
            </w:pPr>
            <w:r w:rsidRPr="001E7E08">
              <w:rPr>
                <w:rFonts w:ascii="Calibri" w:hAnsi="Calibri"/>
              </w:rPr>
              <w:t>https://educationendowmentfoundation.org.uk/evidence-summaries/teaching-learning-toolkit/feedback/</w:t>
            </w:r>
          </w:p>
          <w:p w:rsidR="001E7E08" w:rsidP="001E7E08" w:rsidRDefault="001E7E08" w14:paraId="3DEEC669" wp14:textId="77777777">
            <w:pPr>
              <w:pStyle w:val="7Tablecopybulleted"/>
              <w:numPr>
                <w:ilvl w:val="0"/>
                <w:numId w:val="0"/>
              </w:numPr>
              <w:rPr>
                <w:rFonts w:ascii="Calibri" w:hAnsi="Calibri"/>
              </w:rPr>
            </w:pPr>
          </w:p>
          <w:p w:rsidRPr="00F4142B" w:rsidR="00EF40B6" w:rsidP="001E7E08" w:rsidRDefault="001E7E08" w14:paraId="5E5D0A9A" wp14:textId="77777777">
            <w:pPr>
              <w:pStyle w:val="7Tablecopybulleted"/>
              <w:numPr>
                <w:ilvl w:val="0"/>
                <w:numId w:val="0"/>
              </w:numPr>
              <w:rPr>
                <w:rFonts w:ascii="Calibri" w:hAnsi="Calibri"/>
                <w:highlight w:val="yellow"/>
              </w:rPr>
            </w:pPr>
            <w:r w:rsidRPr="001E7E08">
              <w:rPr>
                <w:rFonts w:ascii="Calibri" w:hAnsi="Calibri"/>
              </w:rPr>
              <w:t>Feedback studies tend to show very high effects on learning. A recent meta-analysis of the impact of formative assessment on writing indicates gains of 8 months’ progress are achievable, which is more consistent with other feedback research.</w:t>
            </w:r>
          </w:p>
        </w:tc>
        <w:tc>
          <w:tcPr>
            <w:tcW w:w="3321" w:type="dxa"/>
            <w:tcMar/>
          </w:tcPr>
          <w:p w:rsidR="00B96726" w:rsidP="007773FB" w:rsidRDefault="00F10E63" w14:paraId="4C474060" wp14:textId="77777777">
            <w:pPr>
              <w:pStyle w:val="7Tablebodycopy"/>
              <w:rPr>
                <w:rFonts w:ascii="Calibri" w:hAnsi="Calibri"/>
              </w:rPr>
            </w:pPr>
            <w:r>
              <w:rPr>
                <w:rFonts w:ascii="Calibri" w:hAnsi="Calibri"/>
              </w:rPr>
              <w:t>T</w:t>
            </w:r>
            <w:r w:rsidR="00B96726">
              <w:rPr>
                <w:rFonts w:ascii="Calibri" w:hAnsi="Calibri"/>
              </w:rPr>
              <w:t>hrough close monitoring and partnership working.</w:t>
            </w:r>
          </w:p>
          <w:p w:rsidR="00E6023A" w:rsidP="007773FB" w:rsidRDefault="00B96726" w14:paraId="494A8ED9" wp14:textId="77777777">
            <w:pPr>
              <w:pStyle w:val="7Tablebodycopy"/>
              <w:rPr>
                <w:rFonts w:ascii="Calibri" w:hAnsi="Calibri"/>
              </w:rPr>
            </w:pPr>
            <w:r>
              <w:rPr>
                <w:rFonts w:ascii="Calibri" w:hAnsi="Calibri"/>
              </w:rPr>
              <w:t xml:space="preserve">In each year group we have two class teachers. </w:t>
            </w:r>
          </w:p>
          <w:p w:rsidR="00B96726" w:rsidP="007773FB" w:rsidRDefault="00B96726" w14:paraId="0579B7E3" wp14:textId="77777777">
            <w:pPr>
              <w:pStyle w:val="7Tablebodycopy"/>
              <w:rPr>
                <w:rFonts w:ascii="Calibri" w:hAnsi="Calibri"/>
              </w:rPr>
            </w:pPr>
            <w:r>
              <w:rPr>
                <w:rFonts w:ascii="Calibri" w:hAnsi="Calibri"/>
              </w:rPr>
              <w:t>The school is organized so that the teachers have their Planning, Preparation and Assessment time together</w:t>
            </w:r>
            <w:r w:rsidR="00F10E63">
              <w:rPr>
                <w:rFonts w:ascii="Calibri" w:hAnsi="Calibri"/>
              </w:rPr>
              <w:t>.</w:t>
            </w:r>
          </w:p>
          <w:p w:rsidR="00B96726" w:rsidP="007773FB" w:rsidRDefault="00B96726" w14:paraId="1ED980DB" wp14:textId="77777777">
            <w:pPr>
              <w:pStyle w:val="7Tablebodycopy"/>
              <w:rPr>
                <w:rFonts w:ascii="Calibri" w:hAnsi="Calibri"/>
              </w:rPr>
            </w:pPr>
            <w:r>
              <w:rPr>
                <w:rFonts w:ascii="Calibri" w:hAnsi="Calibri"/>
              </w:rPr>
              <w:t xml:space="preserve">This means that they can work closely together, and with the Academic Mentor, to regularly review the engagement and progress of children in </w:t>
            </w:r>
            <w:r w:rsidR="00F10E63">
              <w:rPr>
                <w:rFonts w:ascii="Calibri" w:hAnsi="Calibri"/>
              </w:rPr>
              <w:t>the core subjects</w:t>
            </w:r>
            <w:r>
              <w:rPr>
                <w:rFonts w:ascii="Calibri" w:hAnsi="Calibri"/>
              </w:rPr>
              <w:t xml:space="preserve">, and plan for whom the Academic Mentor should work with on a weekly basis. </w:t>
            </w:r>
          </w:p>
          <w:p w:rsidR="00F10E63" w:rsidP="007773FB" w:rsidRDefault="00F10E63" w14:paraId="7978AE13" wp14:textId="77777777">
            <w:pPr>
              <w:pStyle w:val="7Tablebodycopy"/>
              <w:rPr>
                <w:rFonts w:ascii="Calibri" w:hAnsi="Calibri"/>
              </w:rPr>
            </w:pPr>
            <w:r>
              <w:rPr>
                <w:rFonts w:ascii="Calibri" w:hAnsi="Calibri"/>
              </w:rPr>
              <w:t>Reviews will identify the exact objectives the children have not yet mastered.</w:t>
            </w:r>
          </w:p>
          <w:p w:rsidRPr="00F4142B" w:rsidR="00B96726" w:rsidP="007773FB" w:rsidRDefault="00B96726" w14:paraId="3FE87929" wp14:textId="77777777">
            <w:pPr>
              <w:pStyle w:val="7Tablebodycopy"/>
              <w:rPr>
                <w:rFonts w:ascii="Calibri" w:hAnsi="Calibri"/>
              </w:rPr>
            </w:pPr>
            <w:r>
              <w:rPr>
                <w:rFonts w:ascii="Calibri" w:hAnsi="Calibri"/>
              </w:rPr>
              <w:t xml:space="preserve">As children catch up as we move through the year, the work will be over seen by the Phase Leader, and he will ensure that as capacity becomes available, the same approach is taken to target learners in Year 5, with a view to enabling them to be better prepared for when they start in Year 6 in September. </w:t>
            </w:r>
          </w:p>
        </w:tc>
        <w:tc>
          <w:tcPr>
            <w:tcW w:w="1430" w:type="dxa"/>
            <w:tcMar/>
          </w:tcPr>
          <w:p w:rsidR="007773FB" w:rsidP="007773FB" w:rsidRDefault="00F7498B" w14:paraId="49BE36F7" wp14:textId="77777777">
            <w:pPr>
              <w:pStyle w:val="7Tablebodycopy"/>
              <w:rPr>
                <w:rFonts w:ascii="Calibri" w:hAnsi="Calibri"/>
              </w:rPr>
            </w:pPr>
            <w:r>
              <w:rPr>
                <w:rFonts w:ascii="Calibri" w:hAnsi="Calibri"/>
              </w:rPr>
              <w:t>Cristina King</w:t>
            </w:r>
            <w:r w:rsidRPr="00F4142B" w:rsidR="00E6023A">
              <w:rPr>
                <w:rFonts w:ascii="Calibri" w:hAnsi="Calibri"/>
              </w:rPr>
              <w:t>, Head of School</w:t>
            </w:r>
            <w:r w:rsidR="00F10E63">
              <w:rPr>
                <w:rFonts w:ascii="Calibri" w:hAnsi="Calibri"/>
              </w:rPr>
              <w:t>,</w:t>
            </w:r>
            <w:r w:rsidR="00B96726">
              <w:rPr>
                <w:rFonts w:ascii="Calibri" w:hAnsi="Calibri"/>
              </w:rPr>
              <w:t xml:space="preserve"> line manages the Academic Mentor.</w:t>
            </w:r>
          </w:p>
          <w:p w:rsidR="00B96726" w:rsidP="007773FB" w:rsidRDefault="00B96726" w14:paraId="3656B9AB" wp14:textId="77777777">
            <w:pPr>
              <w:pStyle w:val="7Tablebodycopy"/>
              <w:rPr>
                <w:rFonts w:ascii="Calibri" w:hAnsi="Calibri"/>
              </w:rPr>
            </w:pPr>
          </w:p>
          <w:p w:rsidRPr="00F4142B" w:rsidR="00B96726" w:rsidP="007773FB" w:rsidRDefault="00B96726" w14:paraId="609F729C" wp14:textId="77777777">
            <w:pPr>
              <w:pStyle w:val="7Tablebodycopy"/>
              <w:rPr>
                <w:rFonts w:ascii="Calibri" w:hAnsi="Calibri"/>
              </w:rPr>
            </w:pPr>
            <w:r>
              <w:rPr>
                <w:rFonts w:ascii="Calibri" w:hAnsi="Calibri"/>
              </w:rPr>
              <w:t xml:space="preserve">The </w:t>
            </w:r>
            <w:r w:rsidR="00F10E63">
              <w:rPr>
                <w:rFonts w:ascii="Calibri" w:hAnsi="Calibri"/>
              </w:rPr>
              <w:t>P</w:t>
            </w:r>
            <w:r>
              <w:rPr>
                <w:rFonts w:ascii="Calibri" w:hAnsi="Calibri"/>
              </w:rPr>
              <w:t xml:space="preserve">hase </w:t>
            </w:r>
            <w:r w:rsidR="00F10E63">
              <w:rPr>
                <w:rFonts w:ascii="Calibri" w:hAnsi="Calibri"/>
              </w:rPr>
              <w:t>L</w:t>
            </w:r>
            <w:r>
              <w:rPr>
                <w:rFonts w:ascii="Calibri" w:hAnsi="Calibri"/>
              </w:rPr>
              <w:t>eader, Richard Griffiths, has oversight of the progress children are making to influence extending capacity into Year 5.</w:t>
            </w:r>
          </w:p>
        </w:tc>
        <w:tc>
          <w:tcPr>
            <w:tcW w:w="1461" w:type="dxa"/>
            <w:tcMar/>
          </w:tcPr>
          <w:p w:rsidRPr="00F4142B" w:rsidR="007773FB" w:rsidP="007773FB" w:rsidRDefault="00E6023A" w14:paraId="3F2578C2" wp14:textId="77777777">
            <w:pPr>
              <w:pStyle w:val="7Tablebodycopy"/>
              <w:rPr>
                <w:rFonts w:ascii="Calibri" w:hAnsi="Calibri"/>
              </w:rPr>
            </w:pPr>
            <w:r w:rsidRPr="00F4142B">
              <w:rPr>
                <w:rFonts w:ascii="Calibri" w:hAnsi="Calibri"/>
              </w:rPr>
              <w:t>We will keep the impact of this under review through the termly Pupil progress meetings and subsequent reporting to governors.</w:t>
            </w:r>
          </w:p>
        </w:tc>
      </w:tr>
      <w:tr xmlns:wp14="http://schemas.microsoft.com/office/word/2010/wordml" w:rsidRPr="00F4142B" w:rsidR="007773FB" w:rsidTr="50B2B2BA" w14:paraId="14D3D577" wp14:textId="77777777">
        <w:trPr>
          <w:cantSplit/>
        </w:trPr>
        <w:tc>
          <w:tcPr>
            <w:tcW w:w="13418" w:type="dxa"/>
            <w:gridSpan w:val="5"/>
            <w:shd w:val="clear" w:color="auto" w:fill="auto"/>
            <w:tcMar>
              <w:top w:w="113" w:type="dxa"/>
              <w:bottom w:w="113" w:type="dxa"/>
            </w:tcMar>
          </w:tcPr>
          <w:p w:rsidRPr="00F4142B" w:rsidR="007773FB" w:rsidP="007773FB" w:rsidRDefault="007773FB" w14:paraId="299B51E4" wp14:textId="77777777">
            <w:pPr>
              <w:pStyle w:val="7Tablebodycopy"/>
              <w:jc w:val="right"/>
              <w:rPr>
                <w:rFonts w:ascii="Calibri" w:hAnsi="Calibri"/>
              </w:rPr>
            </w:pPr>
            <w:r w:rsidRPr="00F4142B">
              <w:rPr>
                <w:rFonts w:ascii="Calibri" w:hAnsi="Calibri"/>
              </w:rPr>
              <w:t>Total budgeted cost:</w:t>
            </w:r>
          </w:p>
        </w:tc>
        <w:tc>
          <w:tcPr>
            <w:tcW w:w="1461" w:type="dxa"/>
            <w:tcMar/>
          </w:tcPr>
          <w:p w:rsidRPr="00F4142B" w:rsidR="007773FB" w:rsidP="007773FB" w:rsidRDefault="00746450" w14:paraId="1CAF9EF3" wp14:textId="61CB71D7">
            <w:pPr>
              <w:pStyle w:val="7Tablebodycopy"/>
              <w:rPr>
                <w:rFonts w:ascii="Calibri" w:hAnsi="Calibri"/>
                <w:highlight w:val="yellow"/>
              </w:rPr>
            </w:pPr>
            <w:r w:rsidRPr="50B2B2BA" w:rsidR="6E04CC09">
              <w:rPr>
                <w:rFonts w:ascii="Calibri" w:hAnsi="Calibri"/>
              </w:rPr>
              <w:t>£31,120</w:t>
            </w:r>
          </w:p>
        </w:tc>
      </w:tr>
      <w:tr xmlns:wp14="http://schemas.microsoft.com/office/word/2010/wordml" w:rsidRPr="00F4142B" w:rsidR="007773FB" w:rsidTr="50B2B2BA" w14:paraId="3E7B63CD" wp14:textId="77777777">
        <w:trPr>
          <w:cantSplit/>
        </w:trPr>
        <w:tc>
          <w:tcPr>
            <w:tcW w:w="14879" w:type="dxa"/>
            <w:gridSpan w:val="6"/>
            <w:shd w:val="clear" w:color="auto" w:fill="9CC2E5" w:themeFill="accent5" w:themeFillTint="99"/>
            <w:tcMar>
              <w:top w:w="113" w:type="dxa"/>
              <w:bottom w:w="113" w:type="dxa"/>
            </w:tcMar>
          </w:tcPr>
          <w:p w:rsidRPr="00F4142B" w:rsidR="007773FB" w:rsidP="007773FB" w:rsidRDefault="007773FB" w14:paraId="4B9AF276" wp14:textId="77777777">
            <w:pPr>
              <w:pStyle w:val="7Tablebodycopy"/>
              <w:rPr>
                <w:rFonts w:ascii="Calibri" w:hAnsi="Calibri"/>
              </w:rPr>
            </w:pPr>
            <w:r w:rsidRPr="00F4142B">
              <w:rPr>
                <w:rFonts w:ascii="Calibri" w:hAnsi="Calibri"/>
              </w:rPr>
              <w:t>Targeted support</w:t>
            </w:r>
          </w:p>
        </w:tc>
      </w:tr>
      <w:tr xmlns:wp14="http://schemas.microsoft.com/office/word/2010/wordml" w:rsidRPr="00F4142B" w:rsidR="00F10E63" w:rsidTr="50B2B2BA" w14:paraId="577DF70A" wp14:textId="77777777">
        <w:trPr>
          <w:cantSplit/>
        </w:trPr>
        <w:tc>
          <w:tcPr>
            <w:tcW w:w="1600" w:type="dxa"/>
            <w:shd w:val="clear" w:color="auto" w:fill="auto"/>
            <w:tcMar>
              <w:top w:w="113" w:type="dxa"/>
              <w:bottom w:w="113" w:type="dxa"/>
            </w:tcMar>
          </w:tcPr>
          <w:p w:rsidRPr="00F4142B" w:rsidR="007773FB" w:rsidP="007773FB" w:rsidRDefault="007773FB" w14:paraId="2DEDCF4F" wp14:textId="77777777">
            <w:pPr>
              <w:pStyle w:val="7Tablebodycopy"/>
              <w:rPr>
                <w:rFonts w:ascii="Calibri" w:hAnsi="Calibri"/>
              </w:rPr>
            </w:pPr>
            <w:r w:rsidRPr="00F4142B">
              <w:rPr>
                <w:rFonts w:ascii="Calibri" w:hAnsi="Calibri"/>
              </w:rPr>
              <w:t>Action</w:t>
            </w:r>
          </w:p>
        </w:tc>
        <w:tc>
          <w:tcPr>
            <w:tcW w:w="2086" w:type="dxa"/>
            <w:shd w:val="clear" w:color="auto" w:fill="auto"/>
            <w:tcMar>
              <w:top w:w="113" w:type="dxa"/>
              <w:bottom w:w="113" w:type="dxa"/>
            </w:tcMar>
          </w:tcPr>
          <w:p w:rsidRPr="00F4142B" w:rsidR="007773FB" w:rsidP="007773FB" w:rsidRDefault="00D86FD0" w14:paraId="2887D24C" wp14:textId="77777777">
            <w:pPr>
              <w:pStyle w:val="7Tablebodycopy"/>
              <w:rPr>
                <w:rFonts w:ascii="Calibri" w:hAnsi="Calibri"/>
              </w:rPr>
            </w:pPr>
            <w:r w:rsidRPr="00F4142B">
              <w:rPr>
                <w:rFonts w:ascii="Calibri" w:hAnsi="Calibri"/>
              </w:rPr>
              <w:t>Intended outcome and success criteria</w:t>
            </w:r>
          </w:p>
        </w:tc>
        <w:tc>
          <w:tcPr>
            <w:tcW w:w="4981" w:type="dxa"/>
            <w:tcMar/>
          </w:tcPr>
          <w:p w:rsidRPr="00F4142B" w:rsidR="007773FB" w:rsidP="007773FB" w:rsidRDefault="004D7731" w14:paraId="55235805" wp14:textId="77777777">
            <w:pPr>
              <w:pStyle w:val="7Tablebodybulleted"/>
              <w:numPr>
                <w:ilvl w:val="0"/>
                <w:numId w:val="0"/>
              </w:numPr>
              <w:rPr>
                <w:rFonts w:ascii="Calibri" w:hAnsi="Calibri"/>
              </w:rPr>
            </w:pPr>
            <w:r w:rsidRPr="00F4142B">
              <w:rPr>
                <w:rFonts w:ascii="Calibri" w:hAnsi="Calibri"/>
              </w:rPr>
              <w:t>What’</w:t>
            </w:r>
            <w:r w:rsidRPr="00F4142B" w:rsidR="007773FB">
              <w:rPr>
                <w:rFonts w:ascii="Calibri" w:hAnsi="Calibri"/>
              </w:rPr>
              <w:t>s the evidence and rationale for this choice?</w:t>
            </w:r>
          </w:p>
        </w:tc>
        <w:tc>
          <w:tcPr>
            <w:tcW w:w="3321" w:type="dxa"/>
            <w:tcMar/>
          </w:tcPr>
          <w:p w:rsidRPr="00F4142B" w:rsidR="007773FB" w:rsidP="004D7731" w:rsidRDefault="007773FB" w14:paraId="33963675" wp14:textId="77777777">
            <w:pPr>
              <w:pStyle w:val="7Tablebodybulleted"/>
              <w:numPr>
                <w:ilvl w:val="0"/>
                <w:numId w:val="0"/>
              </w:numPr>
              <w:ind w:right="27"/>
              <w:rPr>
                <w:rFonts w:ascii="Calibri" w:hAnsi="Calibri"/>
              </w:rPr>
            </w:pPr>
            <w:r w:rsidRPr="00F4142B">
              <w:rPr>
                <w:rFonts w:ascii="Calibri" w:hAnsi="Calibri"/>
              </w:rPr>
              <w:t xml:space="preserve">How will you </w:t>
            </w:r>
            <w:r w:rsidRPr="00F4142B" w:rsidR="004D7731">
              <w:rPr>
                <w:rFonts w:ascii="Calibri" w:hAnsi="Calibri"/>
              </w:rPr>
              <w:t>make sure it’</w:t>
            </w:r>
            <w:r w:rsidRPr="00F4142B">
              <w:rPr>
                <w:rFonts w:ascii="Calibri" w:hAnsi="Calibri"/>
              </w:rPr>
              <w:t>s implemented well?</w:t>
            </w:r>
          </w:p>
        </w:tc>
        <w:tc>
          <w:tcPr>
            <w:tcW w:w="1430" w:type="dxa"/>
            <w:tcMar/>
          </w:tcPr>
          <w:p w:rsidRPr="00F4142B" w:rsidR="007773FB" w:rsidP="007773FB" w:rsidRDefault="007773FB" w14:paraId="440B96CD" wp14:textId="77777777">
            <w:pPr>
              <w:pStyle w:val="7Tablebodybulleted"/>
              <w:numPr>
                <w:ilvl w:val="0"/>
                <w:numId w:val="0"/>
              </w:numPr>
              <w:rPr>
                <w:rFonts w:ascii="Calibri" w:hAnsi="Calibri"/>
              </w:rPr>
            </w:pPr>
            <w:r w:rsidRPr="00F4142B">
              <w:rPr>
                <w:rFonts w:ascii="Calibri" w:hAnsi="Calibri"/>
              </w:rPr>
              <w:t>Staff lead</w:t>
            </w:r>
          </w:p>
        </w:tc>
        <w:tc>
          <w:tcPr>
            <w:tcW w:w="1461" w:type="dxa"/>
            <w:tcMar/>
          </w:tcPr>
          <w:p w:rsidRPr="00F4142B" w:rsidR="007773FB" w:rsidP="007773FB" w:rsidRDefault="007773FB" w14:paraId="12AF9F2A" wp14:textId="77777777">
            <w:pPr>
              <w:pStyle w:val="7Tablebodybulleted"/>
              <w:numPr>
                <w:ilvl w:val="0"/>
                <w:numId w:val="0"/>
              </w:numPr>
              <w:ind w:right="-18"/>
              <w:rPr>
                <w:rFonts w:ascii="Calibri" w:hAnsi="Calibri"/>
              </w:rPr>
            </w:pPr>
            <w:r w:rsidRPr="00F4142B">
              <w:rPr>
                <w:rFonts w:ascii="Calibri" w:hAnsi="Calibri"/>
              </w:rPr>
              <w:t>When will you review this?</w:t>
            </w:r>
          </w:p>
        </w:tc>
      </w:tr>
      <w:tr xmlns:wp14="http://schemas.microsoft.com/office/word/2010/wordml" w:rsidRPr="00F4142B" w:rsidR="00F10E63" w:rsidTr="50B2B2BA" w14:paraId="4959A627" wp14:textId="77777777">
        <w:trPr>
          <w:cantSplit/>
        </w:trPr>
        <w:tc>
          <w:tcPr>
            <w:tcW w:w="1600" w:type="dxa"/>
            <w:shd w:val="clear" w:color="auto" w:fill="auto"/>
            <w:tcMar>
              <w:top w:w="113" w:type="dxa"/>
              <w:bottom w:w="113" w:type="dxa"/>
            </w:tcMar>
          </w:tcPr>
          <w:p w:rsidRPr="00F4142B" w:rsidR="007773FB" w:rsidP="007773FB" w:rsidRDefault="004866C2" w14:paraId="5610D8D6" wp14:textId="77777777">
            <w:pPr>
              <w:pStyle w:val="7Tablebodycopy"/>
              <w:rPr>
                <w:rFonts w:ascii="Calibri" w:hAnsi="Calibri"/>
              </w:rPr>
            </w:pPr>
            <w:r>
              <w:rPr>
                <w:rFonts w:ascii="Calibri" w:hAnsi="Calibri"/>
              </w:rPr>
              <w:t>Academic mentor provides direct tuition to target learners, prioritizing learners who are eligible for pupil premium</w:t>
            </w:r>
            <w:r w:rsidR="00B96726">
              <w:rPr>
                <w:rFonts w:ascii="Calibri" w:hAnsi="Calibri"/>
              </w:rPr>
              <w:t xml:space="preserve"> and who are not achieving in line with expectations for their age, </w:t>
            </w:r>
            <w:r w:rsidR="00F10E63">
              <w:rPr>
                <w:rFonts w:ascii="Calibri" w:hAnsi="Calibri"/>
              </w:rPr>
              <w:t xml:space="preserve">across the core subjects as needed but </w:t>
            </w:r>
            <w:r w:rsidR="00B96726">
              <w:rPr>
                <w:rFonts w:ascii="Calibri" w:hAnsi="Calibri"/>
              </w:rPr>
              <w:t>with a particular focus on Writing.</w:t>
            </w:r>
            <w:r>
              <w:rPr>
                <w:rFonts w:ascii="Calibri" w:hAnsi="Calibri"/>
              </w:rPr>
              <w:t xml:space="preserve"> </w:t>
            </w:r>
          </w:p>
        </w:tc>
        <w:tc>
          <w:tcPr>
            <w:tcW w:w="2086" w:type="dxa"/>
            <w:shd w:val="clear" w:color="auto" w:fill="auto"/>
            <w:tcMar>
              <w:top w:w="113" w:type="dxa"/>
              <w:bottom w:w="113" w:type="dxa"/>
            </w:tcMar>
          </w:tcPr>
          <w:p w:rsidR="007876BA" w:rsidP="007876BA" w:rsidRDefault="00F7498B" w14:paraId="2D7DD65E" wp14:textId="77777777">
            <w:pPr>
              <w:pStyle w:val="7Tablebodycopy"/>
              <w:rPr>
                <w:rFonts w:ascii="Calibri" w:hAnsi="Calibri"/>
              </w:rPr>
            </w:pPr>
            <w:r>
              <w:rPr>
                <w:rFonts w:ascii="Calibri" w:hAnsi="Calibri"/>
              </w:rPr>
              <w:t>The intended outcomes for the last section are achieved.</w:t>
            </w:r>
          </w:p>
          <w:p w:rsidR="00F7498B" w:rsidP="007876BA" w:rsidRDefault="00F7498B" w14:paraId="45FB0818" wp14:textId="77777777">
            <w:pPr>
              <w:pStyle w:val="7Tablebodycopy"/>
              <w:rPr>
                <w:rFonts w:ascii="Calibri" w:hAnsi="Calibri"/>
              </w:rPr>
            </w:pPr>
          </w:p>
          <w:p w:rsidR="00F7498B" w:rsidP="007876BA" w:rsidRDefault="00F7498B" w14:paraId="1A691038" wp14:textId="77777777">
            <w:pPr>
              <w:pStyle w:val="7Tablebodycopy"/>
              <w:rPr>
                <w:rFonts w:ascii="Calibri" w:hAnsi="Calibri"/>
              </w:rPr>
            </w:pPr>
            <w:r>
              <w:rPr>
                <w:rFonts w:ascii="Calibri" w:hAnsi="Calibri"/>
              </w:rPr>
              <w:t xml:space="preserve">Additionally, the average </w:t>
            </w:r>
            <w:r w:rsidR="004866C2">
              <w:rPr>
                <w:rFonts w:ascii="Calibri" w:hAnsi="Calibri"/>
              </w:rPr>
              <w:t>attainment</w:t>
            </w:r>
            <w:r>
              <w:rPr>
                <w:rFonts w:ascii="Calibri" w:hAnsi="Calibri"/>
              </w:rPr>
              <w:t xml:space="preserve"> for the Pupil Premium children is within 15% of the average </w:t>
            </w:r>
            <w:r w:rsidR="004866C2">
              <w:rPr>
                <w:rFonts w:ascii="Calibri" w:hAnsi="Calibri"/>
              </w:rPr>
              <w:t>attainment</w:t>
            </w:r>
            <w:r>
              <w:rPr>
                <w:rFonts w:ascii="Calibri" w:hAnsi="Calibri"/>
              </w:rPr>
              <w:t xml:space="preserve"> for all children</w:t>
            </w:r>
            <w:r w:rsidR="004866C2">
              <w:rPr>
                <w:rFonts w:ascii="Calibri" w:hAnsi="Calibri"/>
              </w:rPr>
              <w:t>.</w:t>
            </w:r>
          </w:p>
          <w:p w:rsidRPr="00F4142B" w:rsidR="00F7498B" w:rsidP="007876BA" w:rsidRDefault="00F7498B" w14:paraId="049F31CB" wp14:textId="77777777">
            <w:pPr>
              <w:pStyle w:val="7Tablebodycopy"/>
              <w:rPr>
                <w:rFonts w:ascii="Calibri" w:hAnsi="Calibri"/>
              </w:rPr>
            </w:pPr>
          </w:p>
          <w:p w:rsidRPr="00F4142B" w:rsidR="007876BA" w:rsidP="007876BA" w:rsidRDefault="007876BA" w14:paraId="53128261" wp14:textId="77777777">
            <w:pPr>
              <w:pStyle w:val="7Tablebodycopy"/>
              <w:rPr>
                <w:rFonts w:ascii="Calibri" w:hAnsi="Calibri"/>
              </w:rPr>
            </w:pPr>
          </w:p>
        </w:tc>
        <w:tc>
          <w:tcPr>
            <w:tcW w:w="4981" w:type="dxa"/>
            <w:tcMar/>
          </w:tcPr>
          <w:p w:rsidR="001E7E08" w:rsidP="001E7E08" w:rsidRDefault="001E7E08" w14:paraId="045E7535" wp14:textId="77777777">
            <w:pPr>
              <w:pStyle w:val="7Tablebodycopy"/>
              <w:rPr>
                <w:rFonts w:ascii="Calibri" w:hAnsi="Calibri"/>
              </w:rPr>
            </w:pPr>
            <w:hyperlink w:history="1" r:id="rId8">
              <w:r w:rsidRPr="00045A30">
                <w:rPr>
                  <w:rStyle w:val="Hyperlink"/>
                  <w:rFonts w:ascii="Calibri" w:hAnsi="Calibri"/>
                </w:rPr>
                <w:t>https://educationendowmentfoundation.org.uk/evidence-summaries/teaching-learning-toolkit/one-to-one-tuition/</w:t>
              </w:r>
            </w:hyperlink>
          </w:p>
          <w:p w:rsidRPr="001E7E08" w:rsidR="001E7E08" w:rsidP="001E7E08" w:rsidRDefault="001E7E08" w14:paraId="6B4ECED4" wp14:textId="77777777">
            <w:pPr>
              <w:pStyle w:val="7Tablebodycopy"/>
              <w:rPr>
                <w:rFonts w:ascii="Calibri" w:hAnsi="Calibri"/>
              </w:rPr>
            </w:pPr>
            <w:r w:rsidRPr="001E7E08">
              <w:rPr>
                <w:rFonts w:ascii="Calibri" w:hAnsi="Calibri"/>
              </w:rPr>
              <w:t xml:space="preserve">One to one tuition involves a teacher, teaching assistant or other adult giving a pupil intensive individual support. </w:t>
            </w:r>
          </w:p>
          <w:p w:rsidRPr="001E7E08" w:rsidR="001E7E08" w:rsidP="001E7E08" w:rsidRDefault="001E7E08" w14:paraId="5C7DF9BC" wp14:textId="77777777">
            <w:pPr>
              <w:pStyle w:val="7Tablebodycopy"/>
              <w:rPr>
                <w:rFonts w:ascii="Calibri" w:hAnsi="Calibri"/>
              </w:rPr>
            </w:pPr>
            <w:r w:rsidRPr="001E7E08">
              <w:rPr>
                <w:rFonts w:ascii="Calibri" w:hAnsi="Calibri"/>
              </w:rPr>
              <w:t>Evidence indicates that one to one tuition can be effective, delivering approximately five additional months’ progress on average.</w:t>
            </w:r>
          </w:p>
          <w:p w:rsidR="001E7E08" w:rsidP="001E7E08" w:rsidRDefault="001E7E08" w14:paraId="2BE1505B" wp14:textId="77777777">
            <w:pPr>
              <w:pStyle w:val="7Tablebodycopy"/>
              <w:rPr>
                <w:rFonts w:ascii="Calibri" w:hAnsi="Calibri"/>
              </w:rPr>
            </w:pPr>
            <w:r w:rsidRPr="001E7E08">
              <w:rPr>
                <w:rFonts w:ascii="Calibri" w:hAnsi="Calibri"/>
              </w:rPr>
              <w:t xml:space="preserve">Short, regular sessions (about 30 minutes, three to five times a week) over a set period of time (six to twelve weeks) appear to result in optimum impact. Evidence also suggests tuition should be additional to, but explicitly linked with, normal teaching, and that teachers should monitor progress to ensure the tutoring is beneficial. </w:t>
            </w:r>
          </w:p>
          <w:p w:rsidRPr="001E7E08" w:rsidR="001E7E08" w:rsidP="001E7E08" w:rsidRDefault="001E7E08" w14:paraId="546BAED1" wp14:textId="77777777">
            <w:pPr>
              <w:pStyle w:val="7Tablebodycopy"/>
              <w:rPr>
                <w:rFonts w:ascii="Calibri" w:hAnsi="Calibri"/>
                <w:b/>
                <w:bCs/>
              </w:rPr>
            </w:pPr>
            <w:r w:rsidRPr="001E7E08">
              <w:rPr>
                <w:rFonts w:ascii="Calibri" w:hAnsi="Calibri"/>
                <w:b/>
                <w:bCs/>
              </w:rPr>
              <w:t xml:space="preserve">Our Academic </w:t>
            </w:r>
            <w:r w:rsidR="00F10E63">
              <w:rPr>
                <w:rFonts w:ascii="Calibri" w:hAnsi="Calibri"/>
                <w:b/>
                <w:bCs/>
              </w:rPr>
              <w:t>M</w:t>
            </w:r>
            <w:r w:rsidRPr="001E7E08">
              <w:rPr>
                <w:rFonts w:ascii="Calibri" w:hAnsi="Calibri"/>
                <w:b/>
                <w:bCs/>
              </w:rPr>
              <w:t xml:space="preserve">entor is both in class and then providing the tuition to </w:t>
            </w:r>
            <w:r w:rsidR="00F10E63">
              <w:rPr>
                <w:rFonts w:ascii="Calibri" w:hAnsi="Calibri"/>
                <w:b/>
                <w:bCs/>
              </w:rPr>
              <w:t xml:space="preserve">aim to </w:t>
            </w:r>
            <w:r w:rsidRPr="001E7E08">
              <w:rPr>
                <w:rFonts w:ascii="Calibri" w:hAnsi="Calibri"/>
                <w:b/>
                <w:bCs/>
              </w:rPr>
              <w:t>link the support to the issues in class.</w:t>
            </w:r>
          </w:p>
          <w:p w:rsidR="001E7E08" w:rsidP="001E7E08" w:rsidRDefault="001E7E08" w14:paraId="233901B3" wp14:textId="77777777">
            <w:pPr>
              <w:pStyle w:val="7Tablebodycopy"/>
              <w:rPr>
                <w:rFonts w:ascii="Calibri" w:hAnsi="Calibri"/>
              </w:rPr>
            </w:pPr>
            <w:r w:rsidRPr="001E7E08">
              <w:rPr>
                <w:rFonts w:ascii="Calibri" w:hAnsi="Calibri"/>
              </w:rPr>
              <w:t xml:space="preserve">Programmes involving Teaching assistants or volunteers can have a valuable impact, but tend to be less effective than those using experienced and specifically trained teachers, which have nearly twice the effect on average. </w:t>
            </w:r>
          </w:p>
          <w:p w:rsidRPr="001E7E08" w:rsidR="001E7E08" w:rsidP="001E7E08" w:rsidRDefault="001E7E08" w14:paraId="659FAC75" wp14:textId="77777777">
            <w:pPr>
              <w:pStyle w:val="7Tablebodycopy"/>
              <w:rPr>
                <w:rFonts w:ascii="Calibri" w:hAnsi="Calibri"/>
                <w:b/>
                <w:bCs/>
              </w:rPr>
            </w:pPr>
            <w:r w:rsidRPr="001E7E08">
              <w:rPr>
                <w:rFonts w:ascii="Calibri" w:hAnsi="Calibri"/>
                <w:b/>
                <w:bCs/>
              </w:rPr>
              <w:t>Our Academic Mentor has benefited from specific training before taking up the roll and line management throughout the year also provides further CPD where required.</w:t>
            </w:r>
          </w:p>
        </w:tc>
        <w:tc>
          <w:tcPr>
            <w:tcW w:w="3321" w:type="dxa"/>
            <w:tcMar/>
          </w:tcPr>
          <w:p w:rsidR="00746450" w:rsidP="007773FB" w:rsidRDefault="00B96726" w14:paraId="0591C4E0" wp14:textId="77777777">
            <w:pPr>
              <w:pStyle w:val="7Tablebodycopy"/>
              <w:rPr>
                <w:rFonts w:ascii="Calibri" w:hAnsi="Calibri"/>
              </w:rPr>
            </w:pPr>
            <w:r>
              <w:rPr>
                <w:rFonts w:ascii="Calibri" w:hAnsi="Calibri"/>
              </w:rPr>
              <w:t>As above.</w:t>
            </w:r>
          </w:p>
          <w:p w:rsidR="00B96726" w:rsidP="007773FB" w:rsidRDefault="00F10E63" w14:paraId="3C43A25E" wp14:textId="77777777">
            <w:pPr>
              <w:pStyle w:val="7Tablebodycopy"/>
              <w:rPr>
                <w:rFonts w:ascii="Calibri" w:hAnsi="Calibri"/>
              </w:rPr>
            </w:pPr>
            <w:r>
              <w:rPr>
                <w:rFonts w:ascii="Calibri" w:hAnsi="Calibri"/>
              </w:rPr>
              <w:t>F</w:t>
            </w:r>
            <w:r w:rsidRPr="00B96726" w:rsidR="00B96726">
              <w:rPr>
                <w:rFonts w:ascii="Calibri" w:hAnsi="Calibri"/>
              </w:rPr>
              <w:t>ollowing each</w:t>
            </w:r>
            <w:r>
              <w:rPr>
                <w:rFonts w:ascii="Calibri" w:hAnsi="Calibri"/>
              </w:rPr>
              <w:t xml:space="preserve"> weekly review of children’s progress and formal</w:t>
            </w:r>
            <w:r w:rsidRPr="00B96726" w:rsidR="00B96726">
              <w:rPr>
                <w:rFonts w:ascii="Calibri" w:hAnsi="Calibri"/>
              </w:rPr>
              <w:t xml:space="preserve"> assessment</w:t>
            </w:r>
            <w:r>
              <w:rPr>
                <w:rFonts w:ascii="Calibri" w:hAnsi="Calibri"/>
              </w:rPr>
              <w:t xml:space="preserve"> points</w:t>
            </w:r>
            <w:r w:rsidRPr="00B96726" w:rsidR="00B96726">
              <w:rPr>
                <w:rFonts w:ascii="Calibri" w:hAnsi="Calibri"/>
              </w:rPr>
              <w:t xml:space="preserve">, the teachers will refresh the objectives that the children need to master in order to catch up. These objectives will provide the focus for the Academic </w:t>
            </w:r>
            <w:r w:rsidR="00B96726">
              <w:rPr>
                <w:rFonts w:ascii="Calibri" w:hAnsi="Calibri"/>
              </w:rPr>
              <w:t>M</w:t>
            </w:r>
            <w:r w:rsidRPr="00B96726" w:rsidR="00B96726">
              <w:rPr>
                <w:rFonts w:ascii="Calibri" w:hAnsi="Calibri"/>
              </w:rPr>
              <w:t>entor’s targeted support.</w:t>
            </w:r>
          </w:p>
          <w:p w:rsidRPr="00F4142B" w:rsidR="00B96726" w:rsidP="007773FB" w:rsidRDefault="00B96726" w14:paraId="2F6C9C74" wp14:textId="77777777">
            <w:pPr>
              <w:pStyle w:val="7Tablebodycopy"/>
              <w:rPr>
                <w:rFonts w:ascii="Calibri" w:hAnsi="Calibri"/>
              </w:rPr>
            </w:pPr>
            <w:r>
              <w:rPr>
                <w:rFonts w:ascii="Calibri" w:hAnsi="Calibri"/>
              </w:rPr>
              <w:t>When children’s work is being monitored during PPA time, the teachers and Academic Mentor will search for evidence of the objectives being met to determine what the next focus needs to be and when support can be diverted to a greater need because a child has caught up.</w:t>
            </w:r>
          </w:p>
        </w:tc>
        <w:tc>
          <w:tcPr>
            <w:tcW w:w="1430" w:type="dxa"/>
            <w:tcMar/>
          </w:tcPr>
          <w:p w:rsidRPr="00F4142B" w:rsidR="00746450" w:rsidP="007773FB" w:rsidRDefault="00F7498B" w14:paraId="615B3C3E" wp14:textId="77777777">
            <w:pPr>
              <w:pStyle w:val="7Tablebodycopy"/>
              <w:rPr>
                <w:rFonts w:ascii="Calibri" w:hAnsi="Calibri"/>
              </w:rPr>
            </w:pPr>
            <w:r w:rsidRPr="00F7498B">
              <w:rPr>
                <w:rFonts w:ascii="Calibri" w:hAnsi="Calibri"/>
              </w:rPr>
              <w:t>Cristina King, Head of School</w:t>
            </w:r>
          </w:p>
        </w:tc>
        <w:tc>
          <w:tcPr>
            <w:tcW w:w="1461" w:type="dxa"/>
            <w:tcMar/>
          </w:tcPr>
          <w:p w:rsidRPr="00F4142B" w:rsidR="007773FB" w:rsidP="007773FB" w:rsidRDefault="00746450" w14:paraId="4C54E8C7" wp14:textId="77777777">
            <w:pPr>
              <w:pStyle w:val="7Tablebodycopy"/>
              <w:rPr>
                <w:rFonts w:ascii="Calibri" w:hAnsi="Calibri"/>
              </w:rPr>
            </w:pPr>
            <w:r w:rsidRPr="00746450">
              <w:rPr>
                <w:rFonts w:ascii="Calibri" w:hAnsi="Calibri"/>
              </w:rPr>
              <w:t>We will keep the impact of this under review through the termly Pupil progress meetings and subsequent reporting to governors.</w:t>
            </w:r>
          </w:p>
        </w:tc>
      </w:tr>
      <w:tr xmlns:wp14="http://schemas.microsoft.com/office/word/2010/wordml" w:rsidRPr="00F4142B" w:rsidR="007773FB" w:rsidTr="50B2B2BA" w14:paraId="1F4486B4" wp14:textId="77777777">
        <w:trPr>
          <w:cantSplit/>
        </w:trPr>
        <w:tc>
          <w:tcPr>
            <w:tcW w:w="13418" w:type="dxa"/>
            <w:gridSpan w:val="5"/>
            <w:shd w:val="clear" w:color="auto" w:fill="auto"/>
            <w:tcMar>
              <w:top w:w="113" w:type="dxa"/>
              <w:bottom w:w="113" w:type="dxa"/>
            </w:tcMar>
          </w:tcPr>
          <w:p w:rsidRPr="00F4142B" w:rsidR="007773FB" w:rsidP="007773FB" w:rsidRDefault="007773FB" w14:paraId="74188625" wp14:textId="77777777">
            <w:pPr>
              <w:pStyle w:val="7Tablebodycopy"/>
              <w:jc w:val="right"/>
              <w:rPr>
                <w:rFonts w:ascii="Calibri" w:hAnsi="Calibri"/>
              </w:rPr>
            </w:pPr>
            <w:r w:rsidRPr="00F4142B">
              <w:rPr>
                <w:rFonts w:ascii="Calibri" w:hAnsi="Calibri"/>
              </w:rPr>
              <w:t>Total budgeted cost:</w:t>
            </w:r>
          </w:p>
        </w:tc>
        <w:tc>
          <w:tcPr>
            <w:tcW w:w="1461" w:type="dxa"/>
            <w:tcMar/>
          </w:tcPr>
          <w:p w:rsidRPr="00F4142B" w:rsidR="007773FB" w:rsidP="007773FB" w:rsidRDefault="00322E9E" w14:paraId="786BD9F7" wp14:textId="77777777">
            <w:pPr>
              <w:pStyle w:val="7Tablebodycopy"/>
              <w:rPr>
                <w:rFonts w:ascii="Calibri" w:hAnsi="Calibri"/>
              </w:rPr>
            </w:pPr>
            <w:r>
              <w:rPr>
                <w:rFonts w:ascii="Calibri" w:hAnsi="Calibri"/>
              </w:rPr>
              <w:t>As above</w:t>
            </w:r>
          </w:p>
        </w:tc>
      </w:tr>
    </w:tbl>
    <w:p xmlns:wp14="http://schemas.microsoft.com/office/word/2010/wordml" w:rsidRPr="00F4142B" w:rsidR="007773FB" w:rsidP="007773FB" w:rsidRDefault="007773FB" w14:paraId="62486C05" wp14:textId="77777777">
      <w:pPr>
        <w:pStyle w:val="1bodycopy"/>
        <w:rPr>
          <w:rFonts w:ascii="Calibri" w:hAnsi="Calibri"/>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53"/>
      </w:tblGrid>
      <w:tr xmlns:wp14="http://schemas.microsoft.com/office/word/2010/wordml" w:rsidRPr="00F4142B" w:rsidR="007773FB" w:rsidTr="000F7F20" w14:paraId="6947CF4A" wp14:textId="77777777">
        <w:trPr>
          <w:cantSplit/>
          <w:tblHeader/>
        </w:trPr>
        <w:tc>
          <w:tcPr>
            <w:tcW w:w="14879" w:type="dxa"/>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F4142B" w:rsidR="007773FB" w:rsidP="000F7F20" w:rsidRDefault="007773FB" w14:paraId="7C1148BB" wp14:textId="77777777">
            <w:pPr>
              <w:pStyle w:val="1bodycopy"/>
              <w:spacing w:after="0"/>
              <w:rPr>
                <w:rFonts w:ascii="Calibri" w:hAnsi="Calibri"/>
                <w:caps/>
                <w:color w:val="F8F8F8"/>
              </w:rPr>
            </w:pPr>
            <w:r w:rsidRPr="00F4142B">
              <w:rPr>
                <w:rFonts w:ascii="Calibri" w:hAnsi="Calibri"/>
                <w:caps/>
                <w:color w:val="F8F8F8"/>
              </w:rPr>
              <w:t>additional information</w:t>
            </w:r>
          </w:p>
        </w:tc>
      </w:tr>
      <w:tr xmlns:wp14="http://schemas.microsoft.com/office/word/2010/wordml" w:rsidRPr="00F4142B" w:rsidR="007773FB" w:rsidTr="000F7F20" w14:paraId="4BDE957B" wp14:textId="77777777">
        <w:trPr>
          <w:cantSplit/>
        </w:trPr>
        <w:tc>
          <w:tcPr>
            <w:tcW w:w="14879" w:type="dxa"/>
            <w:shd w:val="clear" w:color="auto" w:fill="auto"/>
            <w:tcMar>
              <w:top w:w="113" w:type="dxa"/>
              <w:bottom w:w="113" w:type="dxa"/>
            </w:tcMar>
          </w:tcPr>
          <w:p w:rsidRPr="00F4142B" w:rsidR="007773FB" w:rsidP="00746450" w:rsidRDefault="00746450" w14:paraId="2A3F0435" wp14:textId="77777777">
            <w:pPr>
              <w:pStyle w:val="7Tablebodybulleted"/>
              <w:numPr>
                <w:ilvl w:val="0"/>
                <w:numId w:val="0"/>
              </w:numPr>
              <w:rPr>
                <w:rFonts w:ascii="Calibri" w:hAnsi="Calibri"/>
              </w:rPr>
            </w:pPr>
            <w:r w:rsidRPr="00F4142B">
              <w:rPr>
                <w:rFonts w:ascii="Calibri" w:hAnsi="Calibri"/>
              </w:rPr>
              <w:t>As seen here, the expenditure of our Covid-19 Catch Up Premium is being prioriti</w:t>
            </w:r>
            <w:r w:rsidRPr="00F4142B" w:rsidR="008E08E6">
              <w:rPr>
                <w:rFonts w:ascii="Calibri" w:hAnsi="Calibri"/>
              </w:rPr>
              <w:t>s</w:t>
            </w:r>
            <w:r w:rsidRPr="00F4142B">
              <w:rPr>
                <w:rFonts w:ascii="Calibri" w:hAnsi="Calibri"/>
              </w:rPr>
              <w:t xml:space="preserve">ed for </w:t>
            </w:r>
            <w:r w:rsidR="00B96726">
              <w:rPr>
                <w:rFonts w:ascii="Calibri" w:hAnsi="Calibri"/>
              </w:rPr>
              <w:t>Upper KS2 children</w:t>
            </w:r>
            <w:r w:rsidRPr="00F4142B">
              <w:rPr>
                <w:rFonts w:ascii="Calibri" w:hAnsi="Calibri"/>
              </w:rPr>
              <w:t xml:space="preserve">.  </w:t>
            </w:r>
          </w:p>
          <w:p w:rsidRPr="00F4142B" w:rsidR="00746450" w:rsidP="00746450" w:rsidRDefault="00746450" w14:paraId="406058AE" wp14:textId="77777777">
            <w:pPr>
              <w:pStyle w:val="7Tablebodybulleted"/>
              <w:numPr>
                <w:ilvl w:val="0"/>
                <w:numId w:val="0"/>
              </w:numPr>
              <w:rPr>
                <w:rFonts w:ascii="Calibri" w:hAnsi="Calibri"/>
              </w:rPr>
            </w:pPr>
            <w:r w:rsidRPr="00F4142B">
              <w:rPr>
                <w:rFonts w:ascii="Calibri" w:hAnsi="Calibri"/>
              </w:rPr>
              <w:t xml:space="preserve">As detailed above, this is with the aim of </w:t>
            </w:r>
            <w:r w:rsidR="00B96726">
              <w:rPr>
                <w:rFonts w:ascii="Calibri" w:hAnsi="Calibri"/>
              </w:rPr>
              <w:t>ensuring that we maximise the opportunity of this funding to make sure that our children are prepared for the next phase of their education.</w:t>
            </w:r>
          </w:p>
          <w:p w:rsidRPr="00F4142B" w:rsidR="00746450" w:rsidP="00746450" w:rsidRDefault="00746450" w14:paraId="1F0CDF3B" wp14:textId="77777777">
            <w:pPr>
              <w:pStyle w:val="7Tablebodybulleted"/>
              <w:numPr>
                <w:ilvl w:val="0"/>
                <w:numId w:val="0"/>
              </w:numPr>
              <w:rPr>
                <w:rFonts w:ascii="Calibri" w:hAnsi="Calibri"/>
              </w:rPr>
            </w:pPr>
            <w:r w:rsidRPr="00F4142B">
              <w:rPr>
                <w:rFonts w:ascii="Calibri" w:hAnsi="Calibri"/>
              </w:rPr>
              <w:t xml:space="preserve">It is worthy of note that this does not mean that there is no provision for the children in Years </w:t>
            </w:r>
            <w:r w:rsidR="00322E9E">
              <w:rPr>
                <w:rFonts w:ascii="Calibri" w:hAnsi="Calibri"/>
              </w:rPr>
              <w:t>R - 4</w:t>
            </w:r>
            <w:r w:rsidRPr="00F4142B">
              <w:rPr>
                <w:rFonts w:ascii="Calibri" w:hAnsi="Calibri"/>
              </w:rPr>
              <w:t xml:space="preserve">. Prioritising this expenditure for the children in </w:t>
            </w:r>
            <w:r w:rsidR="00322E9E">
              <w:rPr>
                <w:rFonts w:ascii="Calibri" w:hAnsi="Calibri"/>
              </w:rPr>
              <w:t>Years 5 and 6</w:t>
            </w:r>
            <w:r w:rsidRPr="00F4142B">
              <w:rPr>
                <w:rFonts w:ascii="Calibri" w:hAnsi="Calibri"/>
              </w:rPr>
              <w:t xml:space="preserve"> then allows for the targeting of other resources in the school for the needs of the </w:t>
            </w:r>
            <w:r w:rsidR="00322E9E">
              <w:rPr>
                <w:rFonts w:ascii="Calibri" w:hAnsi="Calibri"/>
              </w:rPr>
              <w:t>younger</w:t>
            </w:r>
            <w:r w:rsidRPr="00F4142B">
              <w:rPr>
                <w:rFonts w:ascii="Calibri" w:hAnsi="Calibri"/>
              </w:rPr>
              <w:t xml:space="preserve"> children.  Examples of support for children in </w:t>
            </w:r>
            <w:r w:rsidR="00322E9E">
              <w:rPr>
                <w:rFonts w:ascii="Calibri" w:hAnsi="Calibri"/>
              </w:rPr>
              <w:t>Reception, KS1 and lower KS2 are</w:t>
            </w:r>
            <w:r w:rsidRPr="00F4142B">
              <w:rPr>
                <w:rFonts w:ascii="Calibri" w:hAnsi="Calibri"/>
              </w:rPr>
              <w:t>:</w:t>
            </w:r>
          </w:p>
          <w:p w:rsidR="00322E9E" w:rsidP="00746450" w:rsidRDefault="00322E9E" w14:paraId="19EA580E" wp14:textId="77777777">
            <w:pPr>
              <w:pStyle w:val="7Tablebodybulleted"/>
              <w:numPr>
                <w:ilvl w:val="0"/>
                <w:numId w:val="49"/>
              </w:numPr>
              <w:rPr>
                <w:rFonts w:ascii="Calibri" w:hAnsi="Calibri"/>
              </w:rPr>
            </w:pPr>
            <w:r>
              <w:rPr>
                <w:rFonts w:ascii="Calibri" w:hAnsi="Calibri"/>
              </w:rPr>
              <w:t>Experienced team working in Reception with direct teaching by the Assistant Headteacher for the development of Early Reading and Phase Leader for EYs and Year 1.</w:t>
            </w:r>
          </w:p>
          <w:p w:rsidR="00322E9E" w:rsidP="00746450" w:rsidRDefault="00322E9E" w14:paraId="4B749E49" wp14:textId="77777777">
            <w:pPr>
              <w:pStyle w:val="7Tablebodybulleted"/>
              <w:numPr>
                <w:ilvl w:val="0"/>
                <w:numId w:val="49"/>
              </w:numPr>
              <w:rPr>
                <w:rFonts w:ascii="Calibri" w:hAnsi="Calibri"/>
              </w:rPr>
            </w:pPr>
            <w:r>
              <w:rPr>
                <w:rFonts w:ascii="Calibri" w:hAnsi="Calibri"/>
              </w:rPr>
              <w:t>Additional Speech and Language support.</w:t>
            </w:r>
          </w:p>
          <w:p w:rsidR="00746450" w:rsidP="00746450" w:rsidRDefault="00322E9E" w14:paraId="68CDC4DB" wp14:textId="77777777">
            <w:pPr>
              <w:pStyle w:val="7Tablebodybulleted"/>
              <w:numPr>
                <w:ilvl w:val="0"/>
                <w:numId w:val="49"/>
              </w:numPr>
              <w:rPr>
                <w:rFonts w:ascii="Calibri" w:hAnsi="Calibri"/>
              </w:rPr>
            </w:pPr>
            <w:r>
              <w:rPr>
                <w:rFonts w:ascii="Calibri" w:hAnsi="Calibri"/>
              </w:rPr>
              <w:t>HLTA support for KS1 targeting the rapid acquisition of phonics for children in both ear groups to reach the required standard.</w:t>
            </w:r>
          </w:p>
          <w:p w:rsidR="00322E9E" w:rsidP="00746450" w:rsidRDefault="00322E9E" w14:paraId="73C11457" wp14:textId="77777777">
            <w:pPr>
              <w:pStyle w:val="7Tablebodybulleted"/>
              <w:numPr>
                <w:ilvl w:val="0"/>
                <w:numId w:val="49"/>
              </w:numPr>
              <w:rPr>
                <w:rFonts w:ascii="Calibri" w:hAnsi="Calibri"/>
              </w:rPr>
            </w:pPr>
            <w:r>
              <w:rPr>
                <w:rFonts w:ascii="Calibri" w:hAnsi="Calibri"/>
              </w:rPr>
              <w:t>HLTA support targeted at Year 3 to facilitate the year group to be taught in 3 smaller groups, all day, every day.</w:t>
            </w:r>
          </w:p>
          <w:p w:rsidRPr="00F4142B" w:rsidR="00322E9E" w:rsidP="00746450" w:rsidRDefault="00322E9E" w14:paraId="6C9A6994" wp14:textId="77777777">
            <w:pPr>
              <w:pStyle w:val="7Tablebodybulleted"/>
              <w:numPr>
                <w:ilvl w:val="0"/>
                <w:numId w:val="49"/>
              </w:numPr>
              <w:rPr>
                <w:rFonts w:ascii="Calibri" w:hAnsi="Calibri"/>
              </w:rPr>
            </w:pPr>
            <w:r>
              <w:rPr>
                <w:rFonts w:ascii="Calibri" w:hAnsi="Calibri"/>
              </w:rPr>
              <w:t>Dedicated teaching assistant support for every year group to enable the delivery of a comprehensive timetable of targeted support interventions.</w:t>
            </w:r>
          </w:p>
        </w:tc>
      </w:tr>
    </w:tbl>
    <w:p xmlns:wp14="http://schemas.microsoft.com/office/word/2010/wordml" w:rsidRPr="00F4142B" w:rsidR="007773FB" w:rsidP="007773FB" w:rsidRDefault="007773FB" w14:paraId="4101652C" wp14:textId="77777777">
      <w:pPr>
        <w:pStyle w:val="1bodycopy"/>
        <w:rPr>
          <w:rFonts w:ascii="Calibri" w:hAnsi="Calibri"/>
        </w:rPr>
      </w:pPr>
    </w:p>
    <w:sectPr w:rsidRPr="00F4142B" w:rsidR="007773FB" w:rsidSect="008E3578">
      <w:headerReference w:type="even" r:id="rId9"/>
      <w:headerReference w:type="default" r:id="rId10"/>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4327F1" w:rsidP="00626EDA" w:rsidRDefault="004327F1" w14:paraId="4B99056E" wp14:textId="77777777">
      <w:r>
        <w:separator/>
      </w:r>
    </w:p>
  </w:endnote>
  <w:endnote w:type="continuationSeparator" w:id="0">
    <w:p xmlns:wp14="http://schemas.microsoft.com/office/word/2010/wordml" w:rsidR="004327F1" w:rsidP="00626EDA" w:rsidRDefault="004327F1"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4327F1" w:rsidP="00626EDA" w:rsidRDefault="004327F1" w14:paraId="4DDBEF00" wp14:textId="77777777">
      <w:r>
        <w:separator/>
      </w:r>
    </w:p>
  </w:footnote>
  <w:footnote w:type="continuationSeparator" w:id="0">
    <w:p xmlns:wp14="http://schemas.microsoft.com/office/word/2010/wordml" w:rsidR="004327F1" w:rsidP="00626EDA" w:rsidRDefault="004327F1" w14:paraId="3461D77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D45DF5" w:rsidRDefault="00BA7C8E" w14:paraId="527A66CA" wp14:textId="77777777">
    <w:r>
      <w:rPr>
        <w:noProof/>
      </w:rPr>
      <w:drawing>
        <wp:anchor xmlns:wp14="http://schemas.microsoft.com/office/word/2010/wordprocessingDrawing" distT="0" distB="0" distL="114300" distR="114300" simplePos="0" relativeHeight="251657216" behindDoc="1" locked="0" layoutInCell="1" allowOverlap="1" wp14:anchorId="47AF8246" wp14:editId="7777777">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DF5">
      <w:rPr>
        <w:noProof/>
      </w:rPr>
      <w:pict w14:anchorId="1878711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45DF5" w:rsidRDefault="00D45DF5" w14:paraId="3CF2D8B6" wp14:textId="77777777"/>
  <w:p xmlns:wp14="http://schemas.microsoft.com/office/word/2010/wordml" w:rsidR="00D45DF5" w:rsidRDefault="00D45DF5" w14:paraId="0FB78278" wp14:textId="77777777"/>
  <w:p xmlns:wp14="http://schemas.microsoft.com/office/word/2010/wordml" w:rsidR="00D45DF5" w:rsidRDefault="00D45DF5" w14:paraId="1FC39945"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9.25pt;height:332.25pt" o:bullet="t" type="#_x0000_t75">
        <v:imagedata o:title="TK_LOGO_POINTER_RGB_BULLET" r:id="rId1"/>
      </v:shape>
    </w:pict>
  </w:numPicBullet>
  <w:numPicBullet w:numPicBulletId="1">
    <w:pict>
      <v:shape id="_x0000_i1026" style="width:36pt;height:30pt" o:bullet="t" type="#_x0000_t75">
        <v:imagedata o:title="Tick" r:id="rId2"/>
      </v:shape>
    </w:pict>
  </w:numPicBullet>
  <w:numPicBullet w:numPicBulletId="2">
    <w:pict>
      <v:shape id="_x0000_i1027" style="width:30pt;height:30pt" o:bullet="t" type="#_x0000_t75">
        <v:imagedata o:title="Cross" r:id="rId3"/>
      </v:shape>
    </w:pict>
  </w:numPicBullet>
  <w:numPicBullet w:numPicBulletId="3">
    <w:pict>
      <v:shape id="_x0000_i1028" style="width:209.25pt;height:332.25pt" o:bullet="t" type="#_x0000_t75">
        <v:imagedata o:title="art1EF6" r:id="rId4"/>
      </v:shape>
    </w:pict>
  </w:numPicBullet>
  <w:numPicBullet w:numPicBulletId="4">
    <w:pict>
      <v:shape id="_x0000_i1029" style="width:209.25pt;height:332.25pt" o:bullet="t" type="#_x0000_t75">
        <v:imagedata o:title="TK_LOGO_POINTER_RGB_bullet_blue" r:id="rId5"/>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F835318"/>
    <w:multiLevelType w:val="hybridMultilevel"/>
    <w:tmpl w:val="2F509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0C15D2B"/>
    <w:multiLevelType w:val="hybridMultilevel"/>
    <w:tmpl w:val="ED660C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hint="default" w:ascii="Courier New" w:hAnsi="Courier New" w:cs="Courier New"/>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9" w15:restartNumberingAfterBreak="0">
    <w:nsid w:val="18D95FC1"/>
    <w:multiLevelType w:val="hybridMultilevel"/>
    <w:tmpl w:val="592C7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E3B6ECE"/>
    <w:multiLevelType w:val="hybridMultilevel"/>
    <w:tmpl w:val="6AD874E8"/>
    <w:lvl w:ilvl="0" w:tplc="5106CC0A">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3" w15:restartNumberingAfterBreak="0">
    <w:nsid w:val="33FD3B81"/>
    <w:multiLevelType w:val="hybridMultilevel"/>
    <w:tmpl w:val="02725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5" w15:restartNumberingAfterBreak="0">
    <w:nsid w:val="45AF201D"/>
    <w:multiLevelType w:val="hybridMultilevel"/>
    <w:tmpl w:val="1DC6A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0"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602656"/>
    <w:multiLevelType w:val="hybridMultilevel"/>
    <w:tmpl w:val="01F2E7C6"/>
    <w:lvl w:ilvl="0" w:tplc="FB9670CC">
      <w:start w:val="1"/>
      <w:numFmt w:val="bullet"/>
      <w:lvlText w:val=""/>
      <w:lvlPicBulletId w:val="4"/>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2" w15:restartNumberingAfterBreak="0">
    <w:nsid w:val="50E35530"/>
    <w:multiLevelType w:val="hybridMultilevel"/>
    <w:tmpl w:val="BB706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A971EBA"/>
    <w:multiLevelType w:val="hybridMultilevel"/>
    <w:tmpl w:val="0B1C9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190160C"/>
    <w:multiLevelType w:val="hybridMultilevel"/>
    <w:tmpl w:val="FDA4F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9327596"/>
    <w:multiLevelType w:val="hybridMultilevel"/>
    <w:tmpl w:val="B0BCBF28"/>
    <w:lvl w:ilvl="0" w:tplc="1366A60A">
      <w:start w:val="1"/>
      <w:numFmt w:val="bullet"/>
      <w:lvlText w:val=""/>
      <w:lvlPicBulletId w:val="1"/>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AF91419"/>
    <w:multiLevelType w:val="hybridMultilevel"/>
    <w:tmpl w:val="6A500928"/>
    <w:lvl w:ilvl="0" w:tplc="31EA54D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A5108A"/>
    <w:multiLevelType w:val="hybridMultilevel"/>
    <w:tmpl w:val="629A167C"/>
    <w:lvl w:ilvl="0" w:tplc="2ECC8E84">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7D621E2"/>
    <w:multiLevelType w:val="hybridMultilevel"/>
    <w:tmpl w:val="2384090A"/>
    <w:lvl w:ilvl="0" w:tplc="17F8EB34">
      <w:start w:val="1"/>
      <w:numFmt w:val="bullet"/>
      <w:lvlText w:val=""/>
      <w:lvlJc w:val="left"/>
      <w:pPr>
        <w:ind w:left="56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5"/>
  </w:num>
  <w:num w:numId="15">
    <w:abstractNumId w:val="11"/>
  </w:num>
  <w:num w:numId="16">
    <w:abstractNumId w:val="28"/>
  </w:num>
  <w:num w:numId="17">
    <w:abstractNumId w:val="36"/>
  </w:num>
  <w:num w:numId="18">
    <w:abstractNumId w:val="20"/>
  </w:num>
  <w:num w:numId="19">
    <w:abstractNumId w:val="22"/>
  </w:num>
  <w:num w:numId="20">
    <w:abstractNumId w:val="21"/>
  </w:num>
  <w:num w:numId="21">
    <w:abstractNumId w:val="31"/>
  </w:num>
  <w:num w:numId="22">
    <w:abstractNumId w:val="18"/>
  </w:num>
  <w:num w:numId="23">
    <w:abstractNumId w:val="12"/>
  </w:num>
  <w:num w:numId="24">
    <w:abstractNumId w:val="32"/>
  </w:num>
  <w:num w:numId="25">
    <w:abstractNumId w:val="39"/>
  </w:num>
  <w:num w:numId="26">
    <w:abstractNumId w:val="26"/>
  </w:num>
  <w:num w:numId="27">
    <w:abstractNumId w:val="37"/>
  </w:num>
  <w:num w:numId="28">
    <w:abstractNumId w:val="38"/>
  </w:num>
  <w:num w:numId="29">
    <w:abstractNumId w:val="24"/>
  </w:num>
  <w:num w:numId="30">
    <w:abstractNumId w:val="21"/>
  </w:num>
  <w:num w:numId="31">
    <w:abstractNumId w:val="31"/>
  </w:num>
  <w:num w:numId="32">
    <w:abstractNumId w:val="21"/>
  </w:num>
  <w:num w:numId="33">
    <w:abstractNumId w:val="31"/>
  </w:num>
  <w:num w:numId="34">
    <w:abstractNumId w:val="11"/>
  </w:num>
  <w:num w:numId="35">
    <w:abstractNumId w:val="28"/>
  </w:num>
  <w:num w:numId="36">
    <w:abstractNumId w:val="38"/>
  </w:num>
  <w:num w:numId="37">
    <w:abstractNumId w:val="10"/>
  </w:num>
  <w:num w:numId="38">
    <w:abstractNumId w:val="16"/>
  </w:num>
  <w:num w:numId="39">
    <w:abstractNumId w:val="40"/>
  </w:num>
  <w:num w:numId="40">
    <w:abstractNumId w:val="29"/>
  </w:num>
  <w:num w:numId="41">
    <w:abstractNumId w:val="30"/>
  </w:num>
  <w:num w:numId="42">
    <w:abstractNumId w:val="40"/>
  </w:num>
  <w:num w:numId="43">
    <w:abstractNumId w:val="19"/>
  </w:num>
  <w:num w:numId="44">
    <w:abstractNumId w:val="34"/>
  </w:num>
  <w:num w:numId="45">
    <w:abstractNumId w:val="23"/>
  </w:num>
  <w:num w:numId="46">
    <w:abstractNumId w:val="33"/>
  </w:num>
  <w:num w:numId="47">
    <w:abstractNumId w:val="25"/>
  </w:num>
  <w:num w:numId="48">
    <w:abstractNumId w:val="15"/>
  </w:num>
  <w:num w:numId="4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6"/>
    <w:rsid w:val="00015991"/>
    <w:rsid w:val="00015B1A"/>
    <w:rsid w:val="000201AD"/>
    <w:rsid w:val="0002254B"/>
    <w:rsid w:val="0002426E"/>
    <w:rsid w:val="0004337E"/>
    <w:rsid w:val="0006010B"/>
    <w:rsid w:val="00082050"/>
    <w:rsid w:val="00093C29"/>
    <w:rsid w:val="000A569F"/>
    <w:rsid w:val="000B77E5"/>
    <w:rsid w:val="000D2CBE"/>
    <w:rsid w:val="000F5556"/>
    <w:rsid w:val="000F5932"/>
    <w:rsid w:val="000F7F20"/>
    <w:rsid w:val="00113E46"/>
    <w:rsid w:val="00117765"/>
    <w:rsid w:val="00125900"/>
    <w:rsid w:val="00130BDF"/>
    <w:rsid w:val="00133219"/>
    <w:rsid w:val="0013442F"/>
    <w:rsid w:val="001357C9"/>
    <w:rsid w:val="0014434B"/>
    <w:rsid w:val="00181880"/>
    <w:rsid w:val="00184D18"/>
    <w:rsid w:val="001864DE"/>
    <w:rsid w:val="00196CB9"/>
    <w:rsid w:val="001A459C"/>
    <w:rsid w:val="001C332E"/>
    <w:rsid w:val="001C3F60"/>
    <w:rsid w:val="001E3CA3"/>
    <w:rsid w:val="001E7E08"/>
    <w:rsid w:val="001F6285"/>
    <w:rsid w:val="00200633"/>
    <w:rsid w:val="0022362F"/>
    <w:rsid w:val="00235450"/>
    <w:rsid w:val="00252AD0"/>
    <w:rsid w:val="002570C9"/>
    <w:rsid w:val="00272E52"/>
    <w:rsid w:val="00275D5E"/>
    <w:rsid w:val="002A028C"/>
    <w:rsid w:val="002C4C82"/>
    <w:rsid w:val="002E47AF"/>
    <w:rsid w:val="00303816"/>
    <w:rsid w:val="00305626"/>
    <w:rsid w:val="0031075E"/>
    <w:rsid w:val="00322E9E"/>
    <w:rsid w:val="003365A2"/>
    <w:rsid w:val="003650B9"/>
    <w:rsid w:val="003859C5"/>
    <w:rsid w:val="003873F5"/>
    <w:rsid w:val="003A5738"/>
    <w:rsid w:val="003A6BAA"/>
    <w:rsid w:val="003B3D47"/>
    <w:rsid w:val="003E0BF0"/>
    <w:rsid w:val="003F2BD9"/>
    <w:rsid w:val="00410382"/>
    <w:rsid w:val="00426593"/>
    <w:rsid w:val="004327F1"/>
    <w:rsid w:val="0046077F"/>
    <w:rsid w:val="004866C2"/>
    <w:rsid w:val="0049204B"/>
    <w:rsid w:val="00492BB3"/>
    <w:rsid w:val="0049302A"/>
    <w:rsid w:val="004938F0"/>
    <w:rsid w:val="004944EE"/>
    <w:rsid w:val="00494953"/>
    <w:rsid w:val="004A5120"/>
    <w:rsid w:val="004A78C5"/>
    <w:rsid w:val="004B319B"/>
    <w:rsid w:val="004B3C9A"/>
    <w:rsid w:val="004C34CC"/>
    <w:rsid w:val="004D15C0"/>
    <w:rsid w:val="004D665C"/>
    <w:rsid w:val="004D7731"/>
    <w:rsid w:val="004E2711"/>
    <w:rsid w:val="004E641E"/>
    <w:rsid w:val="004F0E04"/>
    <w:rsid w:val="005035EA"/>
    <w:rsid w:val="00513A7A"/>
    <w:rsid w:val="00515704"/>
    <w:rsid w:val="00517B90"/>
    <w:rsid w:val="005231B7"/>
    <w:rsid w:val="00531C8C"/>
    <w:rsid w:val="005322DA"/>
    <w:rsid w:val="005508F8"/>
    <w:rsid w:val="00551A84"/>
    <w:rsid w:val="00564CD3"/>
    <w:rsid w:val="00566B82"/>
    <w:rsid w:val="00573834"/>
    <w:rsid w:val="00581E0B"/>
    <w:rsid w:val="00583746"/>
    <w:rsid w:val="00584A10"/>
    <w:rsid w:val="00590890"/>
    <w:rsid w:val="00591AC8"/>
    <w:rsid w:val="0059709B"/>
    <w:rsid w:val="00597ED1"/>
    <w:rsid w:val="005B04AA"/>
    <w:rsid w:val="005B41F6"/>
    <w:rsid w:val="005B4650"/>
    <w:rsid w:val="005D2D4D"/>
    <w:rsid w:val="005E691D"/>
    <w:rsid w:val="006128D4"/>
    <w:rsid w:val="00626EDA"/>
    <w:rsid w:val="006846AC"/>
    <w:rsid w:val="006A2F47"/>
    <w:rsid w:val="006B4C6C"/>
    <w:rsid w:val="006C48FA"/>
    <w:rsid w:val="006E44A2"/>
    <w:rsid w:val="006F2E81"/>
    <w:rsid w:val="006F569D"/>
    <w:rsid w:val="006F7E8A"/>
    <w:rsid w:val="00703C04"/>
    <w:rsid w:val="007070A1"/>
    <w:rsid w:val="00735B7D"/>
    <w:rsid w:val="00746450"/>
    <w:rsid w:val="00746CDB"/>
    <w:rsid w:val="00763488"/>
    <w:rsid w:val="00765590"/>
    <w:rsid w:val="007773FB"/>
    <w:rsid w:val="007876BA"/>
    <w:rsid w:val="00790726"/>
    <w:rsid w:val="00793C1B"/>
    <w:rsid w:val="00797799"/>
    <w:rsid w:val="007A325C"/>
    <w:rsid w:val="007B7406"/>
    <w:rsid w:val="007C4861"/>
    <w:rsid w:val="007C5AC9"/>
    <w:rsid w:val="007D268D"/>
    <w:rsid w:val="007E217D"/>
    <w:rsid w:val="007F2714"/>
    <w:rsid w:val="0080784C"/>
    <w:rsid w:val="008112B2"/>
    <w:rsid w:val="008116A6"/>
    <w:rsid w:val="00816EA8"/>
    <w:rsid w:val="00820727"/>
    <w:rsid w:val="0084075D"/>
    <w:rsid w:val="00845129"/>
    <w:rsid w:val="008472C3"/>
    <w:rsid w:val="008518E4"/>
    <w:rsid w:val="008528FB"/>
    <w:rsid w:val="00874C73"/>
    <w:rsid w:val="00876BC8"/>
    <w:rsid w:val="00883524"/>
    <w:rsid w:val="008941E7"/>
    <w:rsid w:val="008B2E49"/>
    <w:rsid w:val="008B4D8E"/>
    <w:rsid w:val="008C07E4"/>
    <w:rsid w:val="008C1253"/>
    <w:rsid w:val="008D00E1"/>
    <w:rsid w:val="008D0382"/>
    <w:rsid w:val="008D5357"/>
    <w:rsid w:val="008E08E6"/>
    <w:rsid w:val="008E3129"/>
    <w:rsid w:val="008E3578"/>
    <w:rsid w:val="008F744A"/>
    <w:rsid w:val="00915676"/>
    <w:rsid w:val="009266B5"/>
    <w:rsid w:val="009509E5"/>
    <w:rsid w:val="009529C1"/>
    <w:rsid w:val="00961A30"/>
    <w:rsid w:val="009837DA"/>
    <w:rsid w:val="009A2B92"/>
    <w:rsid w:val="009A448F"/>
    <w:rsid w:val="009A7641"/>
    <w:rsid w:val="009E5935"/>
    <w:rsid w:val="00A006CF"/>
    <w:rsid w:val="00A04E2B"/>
    <w:rsid w:val="00A36E3A"/>
    <w:rsid w:val="00A442A0"/>
    <w:rsid w:val="00A60CD4"/>
    <w:rsid w:val="00A9708F"/>
    <w:rsid w:val="00AA3115"/>
    <w:rsid w:val="00AA6E39"/>
    <w:rsid w:val="00AB3104"/>
    <w:rsid w:val="00AE50F0"/>
    <w:rsid w:val="00B11EA7"/>
    <w:rsid w:val="00B26DEE"/>
    <w:rsid w:val="00B33FF2"/>
    <w:rsid w:val="00B34BD8"/>
    <w:rsid w:val="00B6679E"/>
    <w:rsid w:val="00B95F60"/>
    <w:rsid w:val="00B96726"/>
    <w:rsid w:val="00BA7C8E"/>
    <w:rsid w:val="00BB4DD5"/>
    <w:rsid w:val="00BC755D"/>
    <w:rsid w:val="00C00F84"/>
    <w:rsid w:val="00C12D40"/>
    <w:rsid w:val="00C17689"/>
    <w:rsid w:val="00C25832"/>
    <w:rsid w:val="00C41D81"/>
    <w:rsid w:val="00C51C6A"/>
    <w:rsid w:val="00C81A79"/>
    <w:rsid w:val="00C8314B"/>
    <w:rsid w:val="00C845E5"/>
    <w:rsid w:val="00C9770F"/>
    <w:rsid w:val="00CA0F12"/>
    <w:rsid w:val="00CB1850"/>
    <w:rsid w:val="00CC21ED"/>
    <w:rsid w:val="00CC37EC"/>
    <w:rsid w:val="00CE654E"/>
    <w:rsid w:val="00CF06BA"/>
    <w:rsid w:val="00D11C7E"/>
    <w:rsid w:val="00D378EA"/>
    <w:rsid w:val="00D43C4D"/>
    <w:rsid w:val="00D44781"/>
    <w:rsid w:val="00D45DF5"/>
    <w:rsid w:val="00D508B4"/>
    <w:rsid w:val="00D64BCF"/>
    <w:rsid w:val="00D6536C"/>
    <w:rsid w:val="00D73AF6"/>
    <w:rsid w:val="00D86752"/>
    <w:rsid w:val="00D86FD0"/>
    <w:rsid w:val="00D95FA0"/>
    <w:rsid w:val="00DA43DE"/>
    <w:rsid w:val="00DA5725"/>
    <w:rsid w:val="00DA7F11"/>
    <w:rsid w:val="00DB28B4"/>
    <w:rsid w:val="00DB3136"/>
    <w:rsid w:val="00DC5FAC"/>
    <w:rsid w:val="00DF66B4"/>
    <w:rsid w:val="00E05C45"/>
    <w:rsid w:val="00E24FDF"/>
    <w:rsid w:val="00E3210F"/>
    <w:rsid w:val="00E34C23"/>
    <w:rsid w:val="00E6023A"/>
    <w:rsid w:val="00E647DF"/>
    <w:rsid w:val="00E64E2A"/>
    <w:rsid w:val="00E9136B"/>
    <w:rsid w:val="00EF22F0"/>
    <w:rsid w:val="00EF40B6"/>
    <w:rsid w:val="00F0286F"/>
    <w:rsid w:val="00F06384"/>
    <w:rsid w:val="00F10E63"/>
    <w:rsid w:val="00F139E0"/>
    <w:rsid w:val="00F26FC3"/>
    <w:rsid w:val="00F331BC"/>
    <w:rsid w:val="00F33259"/>
    <w:rsid w:val="00F40EC2"/>
    <w:rsid w:val="00F4142B"/>
    <w:rsid w:val="00F53F32"/>
    <w:rsid w:val="00F7498B"/>
    <w:rsid w:val="00F82220"/>
    <w:rsid w:val="00F82B35"/>
    <w:rsid w:val="00F84A6A"/>
    <w:rsid w:val="00F97695"/>
    <w:rsid w:val="00FC1337"/>
    <w:rsid w:val="00FC6431"/>
    <w:rsid w:val="00FE3F15"/>
    <w:rsid w:val="0745278C"/>
    <w:rsid w:val="39346075"/>
    <w:rsid w:val="50B2B2BA"/>
    <w:rsid w:val="6E04C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3DDAE4"/>
  <w15:chartTrackingRefBased/>
  <w15:docId w15:val="{1A6F9C55-2B05-49C8-88FB-419E74B47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73FB"/>
    <w:rPr>
      <w:rFonts w:eastAsia="MS Mincho"/>
      <w:szCs w:val="24"/>
      <w:lang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hAnsi="Calibri" w:eastAsia="MS Gothic"/>
      <w:b/>
      <w:bCs/>
      <w:color w:val="4F81BD"/>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he Key heading Char,The Key Heading Char"/>
    <w:link w:val="Heading1"/>
    <w:uiPriority w:val="9"/>
    <w:rsid w:val="008941E7"/>
    <w:rPr>
      <w:rFonts w:eastAsia="Calibri" w:cs="Arial"/>
      <w:b/>
      <w:color w:val="FF1F64"/>
      <w:sz w:val="60"/>
      <w:szCs w:val="36"/>
      <w:lang w:eastAsia="en-US"/>
    </w:rPr>
  </w:style>
  <w:style w:type="character" w:styleId="Heading3Char" w:customStyle="1">
    <w:name w:val="Heading 3 Char"/>
    <w:link w:val="Heading3"/>
    <w:uiPriority w:val="9"/>
    <w:rsid w:val="004B3C9A"/>
    <w:rPr>
      <w:rFonts w:ascii="Calibri" w:hAnsi="Calibri" w:eastAsia="MS Gothic"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F569D"/>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235450"/>
    <w:rPr>
      <w:color w:val="0072CC"/>
      <w:u w:val="single"/>
    </w:rPr>
  </w:style>
  <w:style w:type="paragraph" w:styleId="1bodycopy" w:customStyle="1">
    <w:name w:val="1 body copy"/>
    <w:basedOn w:val="Normal"/>
    <w:link w:val="1bodycopyChar"/>
    <w:qFormat/>
    <w:rsid w:val="00AE50F0"/>
    <w:pPr>
      <w:spacing w:after="120"/>
    </w:pPr>
  </w:style>
  <w:style w:type="paragraph" w:styleId="3Bulletedcopypink" w:customStyle="1">
    <w:name w:val="3 Bulleted copy pink &gt;"/>
    <w:basedOn w:val="1bodycopy"/>
    <w:qFormat/>
    <w:rsid w:val="008E3578"/>
    <w:pPr>
      <w:numPr>
        <w:numId w:val="32"/>
      </w:numPr>
      <w:ind w:left="527" w:hanging="357"/>
    </w:pPr>
    <w:rPr>
      <w:rFonts w:cs="Arial"/>
      <w:szCs w:val="20"/>
    </w:rPr>
  </w:style>
  <w:style w:type="paragraph" w:styleId="2Subheadpink" w:customStyle="1">
    <w:name w:val="2 Subhead pink"/>
    <w:next w:val="1bodycopy"/>
    <w:qFormat/>
    <w:rsid w:val="00235450"/>
    <w:pPr>
      <w:spacing w:before="360" w:after="120" w:line="259" w:lineRule="auto"/>
    </w:pPr>
    <w:rPr>
      <w:rFonts w:eastAsia="MS Mincho" w:cs="Arial"/>
      <w:b/>
      <w:color w:val="FF1F64"/>
      <w:sz w:val="32"/>
      <w:szCs w:val="32"/>
      <w:lang w:eastAsia="en-US"/>
    </w:rPr>
  </w:style>
  <w:style w:type="paragraph" w:styleId="SlugTheKey" w:customStyle="1">
    <w:name w:val="Slug The Key"/>
    <w:next w:val="Normal"/>
    <w:qFormat/>
    <w:rsid w:val="00235450"/>
    <w:pPr>
      <w:spacing w:after="160" w:line="259" w:lineRule="auto"/>
      <w:jc w:val="center"/>
    </w:pPr>
    <w:rPr>
      <w:rFonts w:eastAsia="MS Mincho"/>
      <w:caps/>
      <w:color w:val="FFFFFF"/>
      <w:sz w:val="18"/>
      <w:szCs w:val="18"/>
      <w:lang w:eastAsia="en-US"/>
    </w:rPr>
  </w:style>
  <w:style w:type="paragraph" w:styleId="4Heading1" w:customStyle="1">
    <w:name w:val="4 Heading 1"/>
    <w:basedOn w:val="Heading1"/>
    <w:next w:val="5Abstract"/>
    <w:qFormat/>
    <w:rsid w:val="00303816"/>
    <w:pPr>
      <w:spacing w:after="480"/>
    </w:pPr>
  </w:style>
  <w:style w:type="paragraph" w:styleId="TKheadingpink" w:customStyle="1">
    <w:name w:val="TK heading pink"/>
    <w:next w:val="1bodycopy"/>
    <w:qFormat/>
    <w:rsid w:val="001357C9"/>
    <w:pPr>
      <w:suppressAutoHyphens/>
      <w:spacing w:after="480"/>
    </w:pPr>
    <w:rPr>
      <w:rFonts w:eastAsia="MS Mincho"/>
      <w:b/>
      <w:color w:val="FF1F64"/>
      <w:sz w:val="60"/>
      <w:szCs w:val="24"/>
      <w:lang w:eastAsia="en-US"/>
    </w:rPr>
  </w:style>
  <w:style w:type="paragraph" w:styleId="8DONTsbullet" w:customStyle="1">
    <w:name w:val="8 DON'Ts bullet"/>
    <w:basedOn w:val="3Bulletedcopypink"/>
    <w:rsid w:val="00235450"/>
    <w:pPr>
      <w:numPr>
        <w:numId w:val="35"/>
      </w:numPr>
      <w:suppressAutoHyphens/>
    </w:pPr>
    <w:rPr>
      <w:b/>
      <w:sz w:val="24"/>
    </w:rPr>
  </w:style>
  <w:style w:type="paragraph" w:styleId="6DOsbullet" w:customStyle="1">
    <w:name w:val="6 DOs bullet"/>
    <w:basedOn w:val="3Bulletedcopypink"/>
    <w:rsid w:val="00235450"/>
    <w:pPr>
      <w:numPr>
        <w:numId w:val="34"/>
      </w:numPr>
    </w:pPr>
    <w:rPr>
      <w:b/>
      <w:sz w:val="24"/>
    </w:rPr>
  </w:style>
  <w:style w:type="paragraph" w:styleId="3Bulletedcopyblue" w:customStyle="1">
    <w:name w:val="3 Bulleted copy blue"/>
    <w:basedOn w:val="3Bulletedcopypink"/>
    <w:qFormat/>
    <w:rsid w:val="008E3578"/>
    <w:pPr>
      <w:numPr>
        <w:numId w:val="39"/>
      </w:numPr>
    </w:pPr>
  </w:style>
  <w:style w:type="paragraph" w:styleId="6Boxheading" w:customStyle="1">
    <w:name w:val="6 Box heading"/>
    <w:basedOn w:val="Normal"/>
    <w:qFormat/>
    <w:rsid w:val="00235450"/>
    <w:pPr>
      <w:spacing w:after="120"/>
    </w:pPr>
    <w:rPr>
      <w:b/>
      <w:color w:val="12263F"/>
      <w:sz w:val="24"/>
    </w:rPr>
  </w:style>
  <w:style w:type="paragraph" w:styleId="8Secondbullet" w:customStyle="1">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Char" w:customStyle="1">
    <w:name w:val="1 body copy Char"/>
    <w:link w:val="1bodycopy"/>
    <w:rsid w:val="00AE50F0"/>
    <w:rPr>
      <w:rFonts w:eastAsia="MS Mincho"/>
      <w:szCs w:val="24"/>
      <w:lang w:val="en-US" w:eastAsia="en-US"/>
    </w:rPr>
  </w:style>
  <w:style w:type="character" w:styleId="8SecondbulletChar" w:customStyle="1">
    <w:name w:val="8 Second bullet Char"/>
    <w:link w:val="8Secondbullet"/>
    <w:rsid w:val="00235450"/>
    <w:rPr>
      <w:rFonts w:eastAsia="MS Mincho"/>
      <w:sz w:val="22"/>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0A569F"/>
    <w:rPr>
      <w:b/>
      <w:bCs/>
    </w:rPr>
  </w:style>
  <w:style w:type="paragraph" w:styleId="5Abstract" w:customStyle="1">
    <w:name w:val="5 Abstract"/>
    <w:qFormat/>
    <w:rsid w:val="00BC755D"/>
    <w:pPr>
      <w:spacing w:after="240" w:line="259" w:lineRule="auto"/>
      <w:ind w:right="1134"/>
    </w:pPr>
    <w:rPr>
      <w:rFonts w:eastAsia="MS Mincho"/>
      <w:sz w:val="28"/>
      <w:szCs w:val="28"/>
      <w:lang w:eastAsia="en-US"/>
    </w:rPr>
  </w:style>
  <w:style w:type="paragraph" w:styleId="7TableHeading" w:customStyle="1">
    <w:name w:val="7 Table Heading"/>
    <w:basedOn w:val="Normal"/>
    <w:link w:val="7TableHeadingChar"/>
    <w:qFormat/>
    <w:rsid w:val="0013442F"/>
    <w:rPr>
      <w:rFonts w:cs="Arial"/>
      <w:szCs w:val="20"/>
    </w:rPr>
  </w:style>
  <w:style w:type="character" w:styleId="7TableHeadingChar" w:customStyle="1">
    <w:name w:val="7 Table Heading Char"/>
    <w:link w:val="7TableHeading"/>
    <w:rsid w:val="0013442F"/>
    <w:rPr>
      <w:rFonts w:eastAsia="MS Mincho" w:cs="Arial"/>
      <w:lang w:val="en-US" w:eastAsia="en-US"/>
    </w:rPr>
  </w:style>
  <w:style w:type="paragraph" w:styleId="9Bodycopyitalic" w:customStyle="1">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heKeytableblue" w:customStyle="1">
    <w:name w:val="The Key table blue"/>
    <w:basedOn w:val="TableNormal"/>
    <w:uiPriority w:val="99"/>
    <w:rsid w:val="0030381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color="12263F" w:sz="4" w:space="0"/>
          <w:left w:val="single" w:color="12263F" w:sz="4" w:space="0"/>
          <w:bottom w:val="single" w:color="12263F" w:sz="4" w:space="0"/>
          <w:right w:val="single" w:color="12263F" w:sz="4" w:space="0"/>
          <w:insideH w:val="single" w:color="F8F8F8" w:sz="4" w:space="0"/>
          <w:insideV w:val="single" w:color="F8F8F8" w:sz="4" w:space="0"/>
          <w:tl2br w:val="nil"/>
          <w:tr2bl w:val="nil"/>
        </w:tcBorders>
        <w:shd w:val="clear" w:color="auto" w:fill="12263F"/>
      </w:tcPr>
    </w:tblStylePr>
  </w:style>
  <w:style w:type="table" w:styleId="Style1" w:customStyle="1">
    <w:name w:val="Style1"/>
    <w:basedOn w:val="TheKeytableblue"/>
    <w:uiPriority w:val="99"/>
    <w:rsid w:val="00C12D40"/>
    <w:tblPr/>
    <w:tblStylePr w:type="firstRow">
      <w:pPr>
        <w:wordWrap/>
        <w:spacing w:before="0" w:beforeLines="0" w:beforeAutospacing="0" w:after="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CE7F5"/>
      </w:tcPr>
    </w:tblStylePr>
  </w:style>
  <w:style w:type="paragraph" w:styleId="7Tablebodycopy" w:customStyle="1">
    <w:name w:val="7 Table body copy"/>
    <w:basedOn w:val="1bodycopy"/>
    <w:qFormat/>
    <w:rsid w:val="004D15C0"/>
    <w:pPr>
      <w:spacing w:after="60"/>
    </w:pPr>
  </w:style>
  <w:style w:type="paragraph" w:styleId="7Tablecopybulleted" w:customStyle="1">
    <w:name w:val="7 Table copy bulleted"/>
    <w:basedOn w:val="7Tablebodycopy"/>
    <w:qFormat/>
    <w:rsid w:val="004D15C0"/>
    <w:pPr>
      <w:numPr>
        <w:numId w:val="38"/>
      </w:numPr>
    </w:pPr>
  </w:style>
  <w:style w:type="paragraph" w:styleId="9Boxheading" w:customStyle="1">
    <w:name w:val="9 Box heading"/>
    <w:basedOn w:val="Normal"/>
    <w:qFormat/>
    <w:rsid w:val="00F84A6A"/>
    <w:pPr>
      <w:spacing w:after="120"/>
    </w:pPr>
    <w:rPr>
      <w:b/>
      <w:color w:val="12263F"/>
      <w:sz w:val="24"/>
    </w:rPr>
  </w:style>
  <w:style w:type="paragraph" w:styleId="4Bulletedcopyblue" w:customStyle="1">
    <w:name w:val="4 Bulleted copy blue"/>
    <w:basedOn w:val="3Bulletedcopypink"/>
    <w:rsid w:val="00F84A6A"/>
    <w:pPr>
      <w:numPr>
        <w:numId w:val="40"/>
      </w:numPr>
      <w:ind w:right="284"/>
    </w:pPr>
    <w:rPr>
      <w:sz w:val="22"/>
    </w:rPr>
  </w:style>
  <w:style w:type="paragraph" w:styleId="7Tablebodybulleted" w:customStyle="1">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 w:type="paragraph" w:styleId="NormalWeb">
    <w:name w:val="Normal (Web)"/>
    <w:basedOn w:val="Normal"/>
    <w:uiPriority w:val="99"/>
    <w:semiHidden/>
    <w:unhideWhenUsed/>
    <w:rsid w:val="005B41F6"/>
    <w:pPr>
      <w:spacing w:before="100" w:beforeAutospacing="1" w:after="100" w:afterAutospacing="1"/>
    </w:pPr>
    <w:rPr>
      <w:rFonts w:ascii="Times New Roman" w:hAnsi="Times New Roman" w:eastAsia="Times New Roman"/>
      <w:sz w:val="24"/>
      <w:lang w:val="en-GB" w:eastAsia="en-GB"/>
    </w:rPr>
  </w:style>
  <w:style w:type="paragraph" w:styleId="Revision">
    <w:name w:val="Revision"/>
    <w:hidden/>
    <w:uiPriority w:val="99"/>
    <w:semiHidden/>
    <w:rsid w:val="008D0382"/>
    <w:rPr>
      <w:rFonts w:eastAsia="MS Mincho"/>
      <w:szCs w:val="24"/>
      <w:lang w:eastAsia="en-US"/>
    </w:rPr>
  </w:style>
  <w:style w:type="paragraph" w:styleId="Header">
    <w:name w:val="header"/>
    <w:basedOn w:val="Normal"/>
    <w:link w:val="HeaderChar"/>
    <w:uiPriority w:val="99"/>
    <w:unhideWhenUsed/>
    <w:rsid w:val="00591AC8"/>
    <w:pPr>
      <w:tabs>
        <w:tab w:val="center" w:pos="4513"/>
        <w:tab w:val="right" w:pos="9026"/>
      </w:tabs>
    </w:pPr>
  </w:style>
  <w:style w:type="character" w:styleId="HeaderChar" w:customStyle="1">
    <w:name w:val="Header Char"/>
    <w:link w:val="Header"/>
    <w:uiPriority w:val="99"/>
    <w:rsid w:val="00591AC8"/>
    <w:rPr>
      <w:rFonts w:eastAsia="MS Mincho"/>
      <w:szCs w:val="24"/>
      <w:lang w:val="en-US" w:eastAsia="en-US"/>
    </w:rPr>
  </w:style>
  <w:style w:type="character" w:styleId="UnresolvedMention">
    <w:name w:val="Unresolved Mention"/>
    <w:uiPriority w:val="99"/>
    <w:semiHidden/>
    <w:unhideWhenUsed/>
    <w:rsid w:val="00EF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2841280">
      <w:bodyDiv w:val="1"/>
      <w:marLeft w:val="0"/>
      <w:marRight w:val="0"/>
      <w:marTop w:val="0"/>
      <w:marBottom w:val="0"/>
      <w:divBdr>
        <w:top w:val="none" w:sz="0" w:space="0" w:color="auto"/>
        <w:left w:val="none" w:sz="0" w:space="0" w:color="auto"/>
        <w:bottom w:val="none" w:sz="0" w:space="0" w:color="auto"/>
        <w:right w:val="none" w:sz="0" w:space="0" w:color="auto"/>
      </w:divBdr>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vidence-summaries/teaching-learning-toolkit/one-to-one-tuition/"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572A732-BA19-4F76-8681-0738DDDF9D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KSL-KeyDoc-template-landscape-2019 (14).dot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Gafson</dc:creator>
  <keywords/>
  <dc:description/>
  <lastModifiedBy>RAbrahams</lastModifiedBy>
  <revision>3</revision>
  <lastPrinted>2018-10-02T22:43:00.0000000Z</lastPrinted>
  <dcterms:created xsi:type="dcterms:W3CDTF">2021-02-05T16:17:00.0000000Z</dcterms:created>
  <dcterms:modified xsi:type="dcterms:W3CDTF">2021-02-05T16:19:01.0346666Z</dcterms:modified>
</coreProperties>
</file>